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qmt20260630_10q.htm"/>
      <w:bookmarkStart w:id="1" w:name="kslqmt2026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10-Q</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7" w:type="dxa"/>
        <w:tblLayout w:type="fixed"/>
        <w:tblCellMar>
          <w:top w:w="28" w:type="dxa"/>
          <w:left w:w="28" w:type="dxa"/>
          <w:bottom w:w="28" w:type="dxa"/>
          <w:right w:w="28" w:type="dxa"/>
        </w:tblCellMar>
      </w:tblPr>
      <w:tblGrid>
        <w:gridCol w:w="230"/>
        <w:gridCol w:w="9875"/>
      </w:tblGrid>
      <w:tr>
        <w:trPr/>
        <w:tc>
          <w:tcPr>
            <w:tcW w:w="2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w:t>
      </w:r>
      <w:r>
        <w:rPr>
          <w:rFonts w:ascii="Times New Roman" w:hAnsi="Times New Roman"/>
          <w:caps w:val="false"/>
          <w:smallCaps w:val="false"/>
          <w:sz w:val="20"/>
        </w:rPr>
        <w:t> </w:t>
      </w:r>
      <w:r>
        <w:rPr>
          <w:rFonts w:ascii="Times New Roman" w:hAnsi="Times New Roman"/>
          <w:b/>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7" w:type="dxa"/>
        <w:tblLayout w:type="fixed"/>
        <w:tblCellMar>
          <w:top w:w="28" w:type="dxa"/>
          <w:left w:w="28" w:type="dxa"/>
          <w:bottom w:w="28" w:type="dxa"/>
          <w:right w:w="28" w:type="dxa"/>
        </w:tblCellMar>
      </w:tblPr>
      <w:tblGrid>
        <w:gridCol w:w="230"/>
        <w:gridCol w:w="9860"/>
      </w:tblGrid>
      <w:tr>
        <w:trPr/>
        <w:tc>
          <w:tcPr>
            <w:tcW w:w="2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No</w:t>
      </w:r>
      <w:r>
        <w:rPr>
          <w:rFonts w:ascii="Times New Roman" w:hAnsi="Times New Roman"/>
          <w:caps w:val="false"/>
          <w:smallCaps w:val="false"/>
          <w:sz w:val="20"/>
        </w:rPr>
        <w:t>.  </w:t>
      </w:r>
      <w:r>
        <w:rPr>
          <w:rFonts w:ascii="Times New Roman" w:hAnsi="Times New Roman"/>
          <w:b/>
          <w:caps w:val="false"/>
          <w:smallCaps w:val="false"/>
          <w:sz w:val="20"/>
        </w:rPr>
        <w:t>001-31332</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LIQUIDMETAL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Exact name of Registrant as specified in its charter</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7" w:type="dxa"/>
        <w:tblLayout w:type="fixed"/>
        <w:tblCellMar>
          <w:top w:w="28" w:type="dxa"/>
          <w:left w:w="28" w:type="dxa"/>
          <w:bottom w:w="28" w:type="dxa"/>
          <w:right w:w="28" w:type="dxa"/>
        </w:tblCellMar>
      </w:tblPr>
      <w:tblGrid>
        <w:gridCol w:w="2480"/>
        <w:gridCol w:w="1520"/>
      </w:tblGrid>
      <w:tr>
        <w:trPr/>
        <w:tc>
          <w:tcPr>
            <w:tcW w:w="2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33-0264467</w:t>
            </w:r>
          </w:p>
        </w:tc>
      </w:tr>
      <w:tr>
        <w:trPr/>
        <w:tc>
          <w:tcPr>
            <w:tcW w:w="2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15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5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20321 Valencia Circle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Lake Forest,</w:t>
      </w:r>
      <w:r>
        <w:rPr>
          <w:rFonts w:ascii="Times New Roman" w:hAnsi="Times New Roman"/>
          <w:caps w:val="false"/>
          <w:smallCaps w:val="false"/>
          <w:sz w:val="20"/>
        </w:rPr>
        <w:t> </w:t>
      </w:r>
      <w:r>
        <w:rPr>
          <w:rFonts w:ascii="Times New Roman" w:hAnsi="Times New Roman"/>
          <w:b/>
          <w:caps w:val="false"/>
          <w:smallCaps w:val="false"/>
          <w:sz w:val="20"/>
        </w:rPr>
        <w:t>CA</w:t>
      </w:r>
      <w:r>
        <w:rPr>
          <w:rFonts w:ascii="Times New Roman" w:hAnsi="Times New Roman"/>
          <w:caps w:val="false"/>
          <w:smallCaps w:val="false"/>
          <w:sz w:val="20"/>
        </w:rPr>
        <w:t> </w:t>
      </w:r>
      <w:r>
        <w:rPr>
          <w:rFonts w:ascii="Times New Roman" w:hAnsi="Times New Roman"/>
          <w:b/>
          <w:caps w:val="false"/>
          <w:smallCaps w:val="false"/>
          <w:sz w:val="20"/>
        </w:rPr>
        <w:t>92630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(949)</w:t>
      </w:r>
      <w:r>
        <w:rPr>
          <w:rFonts w:ascii="Times New Roman" w:hAnsi="Times New Roman"/>
          <w:caps w:val="false"/>
          <w:smallCaps w:val="false"/>
          <w:sz w:val="20"/>
        </w:rPr>
        <w:t> </w:t>
      </w:r>
      <w:r>
        <w:rPr>
          <w:rFonts w:ascii="Times New Roman" w:hAnsi="Times New Roman"/>
          <w:b/>
          <w:caps w:val="false"/>
          <w:smallCaps w:val="false"/>
          <w:sz w:val="20"/>
        </w:rPr>
        <w:t>635-2100</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970" w:type="dxa"/>
        <w:jc w:val="left"/>
        <w:tblInd w:w="-7" w:type="dxa"/>
        <w:tblLayout w:type="fixed"/>
        <w:tblCellMar>
          <w:top w:w="28" w:type="dxa"/>
          <w:left w:w="28" w:type="dxa"/>
          <w:bottom w:w="28" w:type="dxa"/>
          <w:right w:w="28" w:type="dxa"/>
        </w:tblCellMar>
      </w:tblPr>
      <w:tblGrid>
        <w:gridCol w:w="2450"/>
        <w:gridCol w:w="1580"/>
        <w:gridCol w:w="1940"/>
      </w:tblGrid>
      <w:tr>
        <w:trPr/>
        <w:tc>
          <w:tcPr>
            <w:tcW w:w="245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15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c>
          <w:tcPr>
            <w:tcW w:w="194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r>
      <w:tr>
        <w:trPr/>
        <w:tc>
          <w:tcPr>
            <w:tcW w:w="24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5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4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4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c>
          <w:tcPr>
            <w:tcW w:w="3520" w:type="dxa"/>
            <w:gridSpan w:val="2"/>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common shares outstanding as of August 6, 2026 was 917,285,149.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LIQUIDMETAL TECHNOLOGIES, INC.</w:t>
      </w:r>
      <w:r>
        <w:rPr>
          <w:rFonts w:ascii="Times New Roman" w:hAnsi="Times New Roman"/>
          <w:caps w:val="false"/>
          <w:smallCaps w:val="false"/>
          <w:sz w:val="20"/>
        </w:rPr>
        <w:br/>
      </w:r>
      <w:r>
        <w:rPr>
          <w:rFonts w:ascii="Times New Roman" w:hAnsi="Times New Roman"/>
          <w:b/>
          <w:caps w:val="false"/>
          <w:smallCaps w:val="false"/>
          <w:sz w:val="20"/>
        </w:rPr>
        <w:t>FORM 10-Q</w:t>
      </w:r>
      <w:r>
        <w:rPr>
          <w:rFonts w:ascii="Times New Roman" w:hAnsi="Times New Roman"/>
          <w:caps w:val="false"/>
          <w:smallCaps w:val="false"/>
          <w:sz w:val="20"/>
        </w:rPr>
        <w:br/>
      </w:r>
      <w:r>
        <w:rPr>
          <w:rFonts w:ascii="Times New Roman" w:hAnsi="Times New Roman"/>
          <w:b/>
          <w:caps w:val="false"/>
          <w:smallCaps w:val="false"/>
          <w:sz w:val="20"/>
        </w:rPr>
        <w:t>FOR THE QUARTER ENDED</w:t>
      </w:r>
      <w:r>
        <w:rPr>
          <w:rFonts w:ascii="Times New Roman" w:hAnsi="Times New Roman"/>
          <w:caps w:val="false"/>
          <w:smallCaps w:val="false"/>
          <w:sz w:val="20"/>
        </w:rPr>
        <w:t> </w:t>
      </w:r>
      <w:r>
        <w:rPr>
          <w:rFonts w:ascii="Times New Roman" w:hAnsi="Times New Roman"/>
          <w:b/>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of Liquidmetal Technologies, Inc. contains “forward-looking statements” that may state our management’s plans, future events, objectives, current expectations, estimates, forecasts, assumptions or projections about the company and its business. Any statement in this report that is not a statement of historical fact is a forward-looking statement, and in some cases, words such as “believes,” “estimates,” “projects,” “expects,” “intends,” “may,” “anticipates,” “plans,” “seeks,” and similar words or expressions identify forward-looking statements. Forward-looking statements involve risks and uncertainties that could cause actual outcomes and results to differ materially from the anticipated outcomes or results. These statements are not guarantees of future performance, and undue reliance should not be placed on these statements. It is important to note that our actual results could differ materially from what is expressed in our forward-looking statements due to the risk factors described in the section of our Annual Report on Form 10-K for the year ended December 31, 2025 entitled “Risk Factors,” as well as the following risks and uncertainties:</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7" w:type="dxa"/>
        <w:tblLayout w:type="fixed"/>
        <w:tblCellMar>
          <w:top w:w="28" w:type="dxa"/>
          <w:left w:w="28" w:type="dxa"/>
          <w:bottom w:w="28" w:type="dxa"/>
          <w:right w:w="28" w:type="dxa"/>
        </w:tblCellMar>
      </w:tblPr>
      <w:tblGrid>
        <w:gridCol w:w="170"/>
        <w:gridCol w:w="9770"/>
      </w:tblGrid>
      <w:tr>
        <w:trPr/>
        <w:tc>
          <w:tcPr>
            <w:tcW w:w="17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history of operating losses and the uncertainty surrounding our ability to achieve or sustain profitability;</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limited history of developing and selling products made from our bulk amorphous alloys;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Challenges associated with having products manufactured from our alloys and the use of third parties for manufacturing;</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limited history of licensing our technology to third parties;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Lengthy customer adoption cycles and unpredictable customer adoption practices;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identify, develop, and commercialize new product applications for our technology;</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Competition from current suppliers of incumbent materials or producers of competing products;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identify, consummate, and/or integrate strategic partnerships;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potential for manufacturing problems or delays;</w:t>
            </w:r>
          </w:p>
        </w:tc>
      </w:tr>
      <w:tr>
        <w:trPr/>
        <w:tc>
          <w:tcPr>
            <w:tcW w:w="1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difficulties associated with protecting or expanding our intellectual property position;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undertake no obligation, other than as required by applicable law,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985"/>
        <w:gridCol w:w="230"/>
      </w:tblGrid>
      <w:tr>
        <w:trPr/>
        <w:tc>
          <w:tcPr>
            <w:tcW w:w="7985"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b/>
                  <w:caps w:val="false"/>
                  <w:smallCaps w:val="false"/>
                  <w:sz w:val="20"/>
                  <w:u w:val="single"/>
                </w:rPr>
                <w:t>PART I</w:t>
              </w:r>
            </w:hyperlink>
            <w:hyperlink w:anchor="part1">
              <w:r>
                <w:rPr>
                  <w:rStyle w:val="InternetLink"/>
                  <w:rFonts w:ascii="Times New Roman" w:hAnsi="Times New Roman"/>
                  <w:caps w:val="false"/>
                  <w:smallCaps w:val="false"/>
                  <w:sz w:val="20"/>
                  <w:u w:val="single"/>
                </w:rPr>
                <w:t> – </w:t>
              </w:r>
            </w:hyperlink>
            <w:hyperlink w:anchor="part1">
              <w:r>
                <w:rPr>
                  <w:rStyle w:val="InternetLink"/>
                  <w:rFonts w:ascii="Times New Roman" w:hAnsi="Times New Roman"/>
                  <w:b/>
                  <w:caps w:val="false"/>
                  <w:smallCaps w:val="false"/>
                  <w:sz w:val="20"/>
                  <w:u w:val="single"/>
                </w:rPr>
                <w:t>Financial Information</w:t>
              </w:r>
            </w:hyperlink>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item1">
              <w:r>
                <w:rPr>
                  <w:rStyle w:val="InternetLink"/>
                  <w:rFonts w:ascii="Times New Roman" w:hAnsi="Times New Roman"/>
                  <w:caps w:val="false"/>
                  <w:smallCaps w:val="false"/>
                  <w:sz w:val="20"/>
                  <w:u w:val="single"/>
                </w:rPr>
                <w:t>Item 1 – Financial Statements</w:t>
              </w:r>
            </w:hyperlink>
          </w:p>
        </w:tc>
        <w:tc>
          <w:tcPr>
            <w:tcW w:w="230" w:type="dxa"/>
            <w:tcBorders/>
            <w:vAlign w:val="center"/>
          </w:tcPr>
          <w:p>
            <w:pPr>
              <w:pStyle w:val="TableContents"/>
              <w:bidi w:val="0"/>
              <w:spacing w:before="0" w:after="0"/>
              <w:ind w:left="0" w:right="0" w:hanging="0"/>
              <w:jc w:val="center"/>
              <w:rPr/>
            </w:pPr>
            <w:hyperlink w:anchor="part1">
              <w:r>
                <w:rPr>
                  <w:rStyle w:val="InternetLink"/>
                  <w:rFonts w:ascii="Times New Roman" w:hAnsi="Times New Roman"/>
                  <w:caps w:val="false"/>
                  <w:smallCaps w:val="false"/>
                  <w:sz w:val="20"/>
                  <w:u w:val="single"/>
                </w:rPr>
                <w:t>4</w:t>
              </w:r>
            </w:hyperlink>
          </w:p>
        </w:tc>
      </w:tr>
      <w:tr>
        <w:trPr/>
        <w:tc>
          <w:tcPr>
            <w:tcW w:w="7985" w:type="dxa"/>
            <w:tcBorders/>
            <w:vAlign w:val="center"/>
          </w:tcPr>
          <w:p>
            <w:pPr>
              <w:pStyle w:val="TableContents"/>
              <w:bidi w:val="0"/>
              <w:spacing w:before="0" w:after="0"/>
              <w:ind w:left="540" w:right="0" w:hanging="0"/>
              <w:jc w:val="left"/>
              <w:rPr/>
            </w:pPr>
            <w:hyperlink w:anchor="balance_sheets">
              <w:r>
                <w:rPr>
                  <w:rStyle w:val="InternetLink"/>
                  <w:rFonts w:ascii="Times New Roman" w:hAnsi="Times New Roman"/>
                  <w:caps w:val="false"/>
                  <w:smallCaps w:val="false"/>
                  <w:sz w:val="20"/>
                  <w:u w:val="single"/>
                </w:rPr>
                <w:t>Unaudited Consolidated Balance Sheets</w:t>
              </w:r>
            </w:hyperlink>
          </w:p>
        </w:tc>
        <w:tc>
          <w:tcPr>
            <w:tcW w:w="230" w:type="dxa"/>
            <w:tcBorders/>
            <w:vAlign w:val="center"/>
          </w:tcPr>
          <w:p>
            <w:pPr>
              <w:pStyle w:val="TableContents"/>
              <w:bidi w:val="0"/>
              <w:spacing w:before="0" w:after="0"/>
              <w:ind w:left="0" w:right="0" w:hanging="0"/>
              <w:jc w:val="center"/>
              <w:rPr/>
            </w:pPr>
            <w:hyperlink w:anchor="balance_sheets">
              <w:r>
                <w:rPr>
                  <w:rStyle w:val="InternetLink"/>
                  <w:rFonts w:ascii="Times New Roman" w:hAnsi="Times New Roman"/>
                  <w:caps w:val="false"/>
                  <w:smallCaps w:val="false"/>
                  <w:sz w:val="20"/>
                  <w:u w:val="single"/>
                </w:rPr>
                <w:t>4</w:t>
              </w:r>
            </w:hyperlink>
          </w:p>
        </w:tc>
      </w:tr>
      <w:tr>
        <w:trPr/>
        <w:tc>
          <w:tcPr>
            <w:tcW w:w="7985" w:type="dxa"/>
            <w:tcBorders/>
            <w:vAlign w:val="center"/>
          </w:tcPr>
          <w:p>
            <w:pPr>
              <w:pStyle w:val="TableContents"/>
              <w:bidi w:val="0"/>
              <w:spacing w:before="0" w:after="0"/>
              <w:ind w:left="540" w:right="0" w:hanging="0"/>
              <w:jc w:val="left"/>
              <w:rPr/>
            </w:pPr>
            <w:hyperlink w:anchor="operations">
              <w:r>
                <w:rPr>
                  <w:rStyle w:val="InternetLink"/>
                  <w:rFonts w:ascii="Times New Roman" w:hAnsi="Times New Roman"/>
                  <w:caps w:val="false"/>
                  <w:smallCaps w:val="false"/>
                  <w:sz w:val="20"/>
                  <w:u w:val="single"/>
                </w:rPr>
                <w:t>Unaudited Consolidated Statements of Operations</w:t>
              </w:r>
            </w:hyperlink>
          </w:p>
        </w:tc>
        <w:tc>
          <w:tcPr>
            <w:tcW w:w="230" w:type="dxa"/>
            <w:tcBorders/>
            <w:vAlign w:val="center"/>
          </w:tcPr>
          <w:p>
            <w:pPr>
              <w:pStyle w:val="TableContents"/>
              <w:bidi w:val="0"/>
              <w:spacing w:before="0" w:after="0"/>
              <w:ind w:left="0" w:right="0" w:hanging="0"/>
              <w:jc w:val="center"/>
              <w:rPr/>
            </w:pPr>
            <w:hyperlink w:anchor="operations">
              <w:r>
                <w:rPr>
                  <w:rStyle w:val="InternetLink"/>
                  <w:rFonts w:ascii="Times New Roman" w:hAnsi="Times New Roman"/>
                  <w:caps w:val="false"/>
                  <w:smallCaps w:val="false"/>
                  <w:sz w:val="20"/>
                  <w:u w:val="single"/>
                </w:rPr>
                <w:t>5</w:t>
              </w:r>
            </w:hyperlink>
          </w:p>
        </w:tc>
      </w:tr>
      <w:tr>
        <w:trPr/>
        <w:tc>
          <w:tcPr>
            <w:tcW w:w="7985" w:type="dxa"/>
            <w:tcBorders/>
            <w:vAlign w:val="center"/>
          </w:tcPr>
          <w:p>
            <w:pPr>
              <w:pStyle w:val="TableContents"/>
              <w:bidi w:val="0"/>
              <w:spacing w:before="0" w:after="0"/>
              <w:ind w:left="540" w:right="0" w:hanging="0"/>
              <w:jc w:val="left"/>
              <w:rPr/>
            </w:pPr>
            <w:hyperlink w:anchor="equity">
              <w:r>
                <w:rPr>
                  <w:rStyle w:val="InternetLink"/>
                  <w:rFonts w:ascii="Times New Roman" w:hAnsi="Times New Roman"/>
                  <w:caps w:val="false"/>
                  <w:smallCaps w:val="false"/>
                  <w:sz w:val="20"/>
                  <w:u w:val="single"/>
                </w:rPr>
                <w:t>Unaudited Consolidated Statements of Stockholders’ Equity</w:t>
              </w:r>
            </w:hyperlink>
          </w:p>
        </w:tc>
        <w:tc>
          <w:tcPr>
            <w:tcW w:w="230" w:type="dxa"/>
            <w:tcBorders/>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u w:val="single"/>
                </w:rPr>
                <w:t>6</w:t>
              </w:r>
            </w:hyperlink>
          </w:p>
        </w:tc>
      </w:tr>
      <w:tr>
        <w:trPr/>
        <w:tc>
          <w:tcPr>
            <w:tcW w:w="7985" w:type="dxa"/>
            <w:tcBorders/>
            <w:vAlign w:val="center"/>
          </w:tcPr>
          <w:p>
            <w:pPr>
              <w:pStyle w:val="TableContents"/>
              <w:bidi w:val="0"/>
              <w:spacing w:before="0" w:after="0"/>
              <w:ind w:left="540" w:right="0" w:hanging="0"/>
              <w:jc w:val="left"/>
              <w:rPr/>
            </w:pPr>
            <w:hyperlink w:anchor="income_loss">
              <w:r>
                <w:rPr>
                  <w:rStyle w:val="InternetLink"/>
                  <w:rFonts w:ascii="Times New Roman" w:hAnsi="Times New Roman"/>
                  <w:caps w:val="false"/>
                  <w:smallCaps w:val="false"/>
                  <w:sz w:val="20"/>
                  <w:u w:val="single"/>
                </w:rPr>
                <w:t>Unaudited Consolidated Statements of Comprehensive Income (Loss)</w:t>
              </w:r>
            </w:hyperlink>
          </w:p>
        </w:tc>
        <w:tc>
          <w:tcPr>
            <w:tcW w:w="230" w:type="dxa"/>
            <w:tcBorders/>
            <w:vAlign w:val="center"/>
          </w:tcPr>
          <w:p>
            <w:pPr>
              <w:pStyle w:val="TableContents"/>
              <w:bidi w:val="0"/>
              <w:spacing w:before="0" w:after="0"/>
              <w:ind w:left="0" w:right="0" w:hanging="0"/>
              <w:jc w:val="center"/>
              <w:rPr/>
            </w:pPr>
            <w:hyperlink w:anchor="income_loss">
              <w:r>
                <w:rPr>
                  <w:rStyle w:val="InternetLink"/>
                  <w:rFonts w:ascii="Times New Roman" w:hAnsi="Times New Roman"/>
                  <w:caps w:val="false"/>
                  <w:smallCaps w:val="false"/>
                  <w:sz w:val="20"/>
                  <w:u w:val="single"/>
                </w:rPr>
                <w:t>7</w:t>
              </w:r>
            </w:hyperlink>
          </w:p>
        </w:tc>
      </w:tr>
      <w:tr>
        <w:trPr/>
        <w:tc>
          <w:tcPr>
            <w:tcW w:w="7985" w:type="dxa"/>
            <w:tcBorders/>
            <w:vAlign w:val="center"/>
          </w:tcPr>
          <w:p>
            <w:pPr>
              <w:pStyle w:val="TableContents"/>
              <w:bidi w:val="0"/>
              <w:spacing w:before="0" w:after="0"/>
              <w:ind w:left="540" w:right="0" w:hanging="0"/>
              <w:jc w:val="left"/>
              <w:rPr/>
            </w:pPr>
            <w:hyperlink w:anchor="cash_flows">
              <w:r>
                <w:rPr>
                  <w:rStyle w:val="InternetLink"/>
                  <w:rFonts w:ascii="Times New Roman" w:hAnsi="Times New Roman"/>
                  <w:caps w:val="false"/>
                  <w:smallCaps w:val="false"/>
                  <w:sz w:val="20"/>
                  <w:u w:val="single"/>
                </w:rPr>
                <w:t>Unaudited Consolidated Statements of Cash Flows</w:t>
              </w:r>
            </w:hyperlink>
          </w:p>
        </w:tc>
        <w:tc>
          <w:tcPr>
            <w:tcW w:w="230" w:type="dxa"/>
            <w:tcBorders/>
            <w:vAlign w:val="center"/>
          </w:tcPr>
          <w:p>
            <w:pPr>
              <w:pStyle w:val="TableContents"/>
              <w:bidi w:val="0"/>
              <w:spacing w:before="0" w:after="0"/>
              <w:ind w:left="0" w:right="0" w:hanging="0"/>
              <w:jc w:val="center"/>
              <w:rPr/>
            </w:pPr>
            <w:hyperlink w:anchor="cash_flows">
              <w:r>
                <w:rPr>
                  <w:rStyle w:val="InternetLink"/>
                  <w:rFonts w:ascii="Times New Roman" w:hAnsi="Times New Roman"/>
                  <w:caps w:val="false"/>
                  <w:smallCaps w:val="false"/>
                  <w:sz w:val="20"/>
                  <w:u w:val="single"/>
                </w:rPr>
                <w:t>8</w:t>
              </w:r>
            </w:hyperlink>
          </w:p>
        </w:tc>
      </w:tr>
      <w:tr>
        <w:trPr/>
        <w:tc>
          <w:tcPr>
            <w:tcW w:w="7985" w:type="dxa"/>
            <w:tcBorders/>
            <w:vAlign w:val="center"/>
          </w:tcPr>
          <w:p>
            <w:pPr>
              <w:pStyle w:val="TableContents"/>
              <w:bidi w:val="0"/>
              <w:spacing w:before="0" w:after="0"/>
              <w:ind w:left="540" w:right="0" w:hanging="0"/>
              <w:jc w:val="left"/>
              <w:rPr/>
            </w:pPr>
            <w:hyperlink w:anchor="notes">
              <w:r>
                <w:rPr>
                  <w:rStyle w:val="InternetLink"/>
                  <w:rFonts w:ascii="Times New Roman" w:hAnsi="Times New Roman"/>
                  <w:caps w:val="false"/>
                  <w:smallCaps w:val="false"/>
                  <w:sz w:val="20"/>
                  <w:u w:val="single"/>
                </w:rPr>
                <w:t>Notes to Unaudited Consolidated Financial Statements</w:t>
              </w:r>
            </w:hyperlink>
          </w:p>
        </w:tc>
        <w:tc>
          <w:tcPr>
            <w:tcW w:w="23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u w:val="single"/>
                </w:rPr>
                <w:t>9</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item2">
              <w:r>
                <w:rPr>
                  <w:rStyle w:val="InternetLink"/>
                  <w:rFonts w:ascii="Times New Roman" w:hAnsi="Times New Roman"/>
                  <w:caps w:val="false"/>
                  <w:smallCaps w:val="false"/>
                  <w:sz w:val="20"/>
                  <w:u w:val="single"/>
                </w:rPr>
                <w:t>Item 2 – Management’s Discussion and Analysis of Financial Condition and Results of Operations</w:t>
              </w:r>
            </w:hyperlink>
          </w:p>
        </w:tc>
        <w:tc>
          <w:tcPr>
            <w:tcW w:w="230" w:type="dxa"/>
            <w:tcBorders/>
            <w:vAlign w:val="center"/>
          </w:tcPr>
          <w:p>
            <w:pPr>
              <w:pStyle w:val="TableContents"/>
              <w:bidi w:val="0"/>
              <w:spacing w:before="0" w:after="0"/>
              <w:ind w:left="0" w:right="0" w:hanging="0"/>
              <w:jc w:val="center"/>
              <w:rPr/>
            </w:pPr>
            <w:hyperlink w:anchor="item2">
              <w:r>
                <w:rPr>
                  <w:rStyle w:val="InternetLink"/>
                  <w:rFonts w:ascii="Times New Roman" w:hAnsi="Times New Roman"/>
                  <w:caps w:val="false"/>
                  <w:smallCaps w:val="false"/>
                  <w:sz w:val="20"/>
                  <w:u w:val="single"/>
                </w:rPr>
                <w:t>18</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item3">
              <w:r>
                <w:rPr>
                  <w:rStyle w:val="InternetLink"/>
                  <w:rFonts w:ascii="Times New Roman" w:hAnsi="Times New Roman"/>
                  <w:caps w:val="false"/>
                  <w:smallCaps w:val="false"/>
                  <w:sz w:val="20"/>
                  <w:u w:val="single"/>
                </w:rPr>
                <w:t>Item 3 – Quantitative and Qualitative Disclosures about Market Risk</w:t>
              </w:r>
            </w:hyperlink>
          </w:p>
        </w:tc>
        <w:tc>
          <w:tcPr>
            <w:tcW w:w="230" w:type="dxa"/>
            <w:tcBorders/>
            <w:vAlign w:val="center"/>
          </w:tcPr>
          <w:p>
            <w:pPr>
              <w:pStyle w:val="TableContents"/>
              <w:bidi w:val="0"/>
              <w:spacing w:before="0" w:after="0"/>
              <w:ind w:left="0" w:right="0" w:hanging="0"/>
              <w:jc w:val="center"/>
              <w:rPr/>
            </w:pPr>
            <w:hyperlink w:anchor="item3">
              <w:r>
                <w:rPr>
                  <w:rStyle w:val="InternetLink"/>
                  <w:rFonts w:ascii="Times New Roman" w:hAnsi="Times New Roman"/>
                  <w:caps w:val="false"/>
                  <w:smallCaps w:val="false"/>
                  <w:sz w:val="20"/>
                  <w:u w:val="single"/>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item4">
              <w:r>
                <w:rPr>
                  <w:rStyle w:val="InternetLink"/>
                  <w:rFonts w:ascii="Times New Roman" w:hAnsi="Times New Roman"/>
                  <w:caps w:val="false"/>
                  <w:smallCaps w:val="false"/>
                  <w:sz w:val="20"/>
                  <w:u w:val="single"/>
                </w:rPr>
                <w:t>Item 4 – Controls and Procedures</w:t>
              </w:r>
            </w:hyperlink>
          </w:p>
        </w:tc>
        <w:tc>
          <w:tcPr>
            <w:tcW w:w="230" w:type="dxa"/>
            <w:tcBorders/>
            <w:vAlign w:val="center"/>
          </w:tcPr>
          <w:p>
            <w:pPr>
              <w:pStyle w:val="TableContents"/>
              <w:bidi w:val="0"/>
              <w:spacing w:before="0" w:after="0"/>
              <w:ind w:left="0" w:right="0" w:hanging="0"/>
              <w:jc w:val="center"/>
              <w:rPr/>
            </w:pPr>
            <w:hyperlink w:anchor="item4">
              <w:r>
                <w:rPr>
                  <w:rStyle w:val="InternetLink"/>
                  <w:rFonts w:ascii="Times New Roman" w:hAnsi="Times New Roman"/>
                  <w:caps w:val="false"/>
                  <w:smallCaps w:val="false"/>
                  <w:sz w:val="20"/>
                  <w:u w:val="single"/>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u w:val="single"/>
                </w:rPr>
                <w:t>PART II</w:t>
              </w:r>
            </w:hyperlink>
            <w:hyperlink w:anchor="part2">
              <w:r>
                <w:rPr>
                  <w:rStyle w:val="InternetLink"/>
                  <w:rFonts w:ascii="Times New Roman" w:hAnsi="Times New Roman"/>
                  <w:caps w:val="false"/>
                  <w:smallCaps w:val="false"/>
                  <w:sz w:val="20"/>
                  <w:u w:val="single"/>
                </w:rPr>
                <w:t> – </w:t>
              </w:r>
            </w:hyperlink>
            <w:hyperlink w:anchor="part2">
              <w:r>
                <w:rPr>
                  <w:rStyle w:val="InternetLink"/>
                  <w:rFonts w:ascii="Times New Roman" w:hAnsi="Times New Roman"/>
                  <w:b/>
                  <w:caps w:val="false"/>
                  <w:smallCaps w:val="false"/>
                  <w:sz w:val="20"/>
                  <w:u w:val="single"/>
                </w:rPr>
                <w:t>Other Information</w:t>
              </w:r>
            </w:hyperlink>
          </w:p>
        </w:tc>
        <w:tc>
          <w:tcPr>
            <w:tcW w:w="230" w:type="dxa"/>
            <w:tcBorders/>
            <w:vAlign w:val="center"/>
          </w:tcPr>
          <w:p>
            <w:pPr>
              <w:pStyle w:val="TableContents"/>
              <w:bidi w:val="0"/>
              <w:spacing w:before="0" w:after="0"/>
              <w:ind w:left="0" w:right="0" w:hanging="0"/>
              <w:jc w:val="center"/>
              <w:rPr/>
            </w:pPr>
            <w:hyperlink w:anchor="part2">
              <w:r>
                <w:rPr>
                  <w:rStyle w:val="InternetLink"/>
                  <w:rFonts w:ascii="Times New Roman" w:hAnsi="Times New Roman"/>
                  <w:caps w:val="false"/>
                  <w:smallCaps w:val="false"/>
                  <w:sz w:val="20"/>
                  <w:u w:val="single"/>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legal">
              <w:r>
                <w:rPr>
                  <w:rStyle w:val="InternetLink"/>
                  <w:rFonts w:ascii="Times New Roman" w:hAnsi="Times New Roman"/>
                  <w:caps w:val="false"/>
                  <w:smallCaps w:val="false"/>
                  <w:sz w:val="20"/>
                  <w:u w:val="single"/>
                </w:rPr>
                <w:t>Item 1 – Legal Proceedings</w:t>
              </w:r>
            </w:hyperlink>
          </w:p>
        </w:tc>
        <w:tc>
          <w:tcPr>
            <w:tcW w:w="230" w:type="dxa"/>
            <w:tcBorders/>
            <w:vAlign w:val="center"/>
          </w:tcPr>
          <w:p>
            <w:pPr>
              <w:pStyle w:val="TableContents"/>
              <w:bidi w:val="0"/>
              <w:spacing w:before="0" w:after="0"/>
              <w:ind w:left="0" w:right="0" w:hanging="0"/>
              <w:jc w:val="center"/>
              <w:rPr/>
            </w:pPr>
            <w:hyperlink w:anchor="legal">
              <w:r>
                <w:rPr>
                  <w:rStyle w:val="InternetLink"/>
                  <w:rFonts w:ascii="Times New Roman" w:hAnsi="Times New Roman"/>
                  <w:caps w:val="false"/>
                  <w:smallCaps w:val="false"/>
                  <w:sz w:val="20"/>
                  <w:u w:val="single"/>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risk">
              <w:r>
                <w:rPr>
                  <w:rStyle w:val="InternetLink"/>
                  <w:rFonts w:ascii="Times New Roman" w:hAnsi="Times New Roman"/>
                  <w:caps w:val="false"/>
                  <w:smallCaps w:val="false"/>
                  <w:sz w:val="20"/>
                  <w:u w:val="single"/>
                </w:rPr>
                <w:t>Item 1A – Risk Factors</w:t>
              </w:r>
            </w:hyperlink>
          </w:p>
        </w:tc>
        <w:tc>
          <w:tcPr>
            <w:tcW w:w="230" w:type="dxa"/>
            <w:tcBorders/>
            <w:vAlign w:val="center"/>
          </w:tcPr>
          <w:p>
            <w:pPr>
              <w:pStyle w:val="TableContents"/>
              <w:bidi w:val="0"/>
              <w:spacing w:before="0" w:after="0"/>
              <w:ind w:left="0" w:right="0" w:hanging="0"/>
              <w:jc w:val="center"/>
              <w:rPr/>
            </w:pPr>
            <w:hyperlink w:anchor="risk">
              <w:r>
                <w:rPr>
                  <w:rStyle w:val="InternetLink"/>
                  <w:rFonts w:ascii="Times New Roman" w:hAnsi="Times New Roman"/>
                  <w:caps w:val="false"/>
                  <w:smallCaps w:val="false"/>
                  <w:sz w:val="20"/>
                  <w:u w:val="single"/>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unregistered">
              <w:r>
                <w:rPr>
                  <w:rStyle w:val="InternetLink"/>
                  <w:rFonts w:ascii="Times New Roman" w:hAnsi="Times New Roman"/>
                  <w:caps w:val="false"/>
                  <w:smallCaps w:val="false"/>
                  <w:sz w:val="20"/>
                  <w:u w:val="single"/>
                </w:rPr>
                <w:t>Item 2 – Unregistered Sales of Equity Securities and Use of Proceeds</w:t>
              </w:r>
            </w:hyperlink>
          </w:p>
        </w:tc>
        <w:tc>
          <w:tcPr>
            <w:tcW w:w="230" w:type="dxa"/>
            <w:tcBorders/>
            <w:vAlign w:val="center"/>
          </w:tcPr>
          <w:p>
            <w:pPr>
              <w:pStyle w:val="TableContents"/>
              <w:bidi w:val="0"/>
              <w:spacing w:before="0" w:after="0"/>
              <w:ind w:left="0" w:right="0" w:hanging="0"/>
              <w:jc w:val="center"/>
              <w:rPr/>
            </w:pPr>
            <w:hyperlink w:anchor="unregistered">
              <w:r>
                <w:rPr>
                  <w:rStyle w:val="InternetLink"/>
                  <w:rFonts w:ascii="Times New Roman" w:hAnsi="Times New Roman"/>
                  <w:caps w:val="false"/>
                  <w:smallCaps w:val="false"/>
                  <w:sz w:val="20"/>
                  <w:u w:val="single"/>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defaults">
              <w:r>
                <w:rPr>
                  <w:rStyle w:val="InternetLink"/>
                  <w:rFonts w:ascii="Times New Roman" w:hAnsi="Times New Roman"/>
                  <w:caps w:val="false"/>
                  <w:smallCaps w:val="false"/>
                  <w:sz w:val="20"/>
                  <w:u w:val="single"/>
                </w:rPr>
                <w:t>Item 3 – Defaults Upon Senior Securities</w:t>
              </w:r>
            </w:hyperlink>
          </w:p>
        </w:tc>
        <w:tc>
          <w:tcPr>
            <w:tcW w:w="230" w:type="dxa"/>
            <w:tcBorders/>
            <w:vAlign w:val="center"/>
          </w:tcPr>
          <w:p>
            <w:pPr>
              <w:pStyle w:val="TableContents"/>
              <w:bidi w:val="0"/>
              <w:spacing w:before="0" w:after="0"/>
              <w:ind w:left="0" w:right="0" w:hanging="0"/>
              <w:jc w:val="center"/>
              <w:rPr/>
            </w:pPr>
            <w:hyperlink w:anchor="defaults">
              <w:r>
                <w:rPr>
                  <w:rStyle w:val="InternetLink"/>
                  <w:rFonts w:ascii="Times New Roman" w:hAnsi="Times New Roman"/>
                  <w:caps w:val="false"/>
                  <w:smallCaps w:val="false"/>
                  <w:sz w:val="20"/>
                  <w:u w:val="single"/>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mine_safety">
              <w:r>
                <w:rPr>
                  <w:rStyle w:val="InternetLink"/>
                  <w:rFonts w:ascii="Times New Roman" w:hAnsi="Times New Roman"/>
                  <w:caps w:val="false"/>
                  <w:smallCaps w:val="false"/>
                  <w:sz w:val="20"/>
                  <w:u w:val="single"/>
                </w:rPr>
                <w:t>Item 4 – Mine Safety Disclosures</w:t>
              </w:r>
            </w:hyperlink>
          </w:p>
        </w:tc>
        <w:tc>
          <w:tcPr>
            <w:tcW w:w="230" w:type="dxa"/>
            <w:tcBorders/>
            <w:vAlign w:val="center"/>
          </w:tcPr>
          <w:p>
            <w:pPr>
              <w:pStyle w:val="TableContents"/>
              <w:bidi w:val="0"/>
              <w:spacing w:before="0" w:after="0"/>
              <w:ind w:left="0" w:right="0" w:hanging="0"/>
              <w:jc w:val="center"/>
              <w:rPr/>
            </w:pPr>
            <w:hyperlink w:anchor="mine_safety">
              <w:r>
                <w:rPr>
                  <w:rStyle w:val="InternetLink"/>
                  <w:rFonts w:ascii="Times New Roman" w:hAnsi="Times New Roman"/>
                  <w:caps w:val="false"/>
                  <w:smallCaps w:val="false"/>
                  <w:sz w:val="20"/>
                  <w:u w:val="single"/>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other_info">
              <w:r>
                <w:rPr>
                  <w:rStyle w:val="InternetLink"/>
                  <w:rFonts w:ascii="Times New Roman" w:hAnsi="Times New Roman"/>
                  <w:caps w:val="false"/>
                  <w:smallCaps w:val="false"/>
                  <w:sz w:val="20"/>
                  <w:u w:val="single"/>
                </w:rPr>
                <w:t>Item 5 – Other Information</w:t>
              </w:r>
            </w:hyperlink>
          </w:p>
        </w:tc>
        <w:tc>
          <w:tcPr>
            <w:tcW w:w="230" w:type="dxa"/>
            <w:tcBorders/>
            <w:vAlign w:val="center"/>
          </w:tcPr>
          <w:p>
            <w:pPr>
              <w:pStyle w:val="TableContents"/>
              <w:bidi w:val="0"/>
              <w:spacing w:before="0" w:after="0"/>
              <w:ind w:left="0" w:right="0" w:hanging="0"/>
              <w:jc w:val="center"/>
              <w:rPr/>
            </w:pPr>
            <w:hyperlink w:anchor="other_info">
              <w:r>
                <w:rPr>
                  <w:rStyle w:val="InternetLink"/>
                  <w:rFonts w:ascii="Times New Roman" w:hAnsi="Times New Roman"/>
                  <w:caps w:val="false"/>
                  <w:smallCaps w:val="false"/>
                  <w:sz w:val="20"/>
                  <w:u w:val="single"/>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exhibits">
              <w:r>
                <w:rPr>
                  <w:rStyle w:val="InternetLink"/>
                  <w:rFonts w:ascii="Times New Roman" w:hAnsi="Times New Roman"/>
                  <w:caps w:val="false"/>
                  <w:smallCaps w:val="false"/>
                  <w:sz w:val="20"/>
                  <w:u w:val="single"/>
                </w:rPr>
                <w:t>Item 6 – Exhibits</w:t>
              </w:r>
            </w:hyperlink>
          </w:p>
        </w:tc>
        <w:tc>
          <w:tcPr>
            <w:tcW w:w="230" w:type="dxa"/>
            <w:tcBorders/>
            <w:vAlign w:val="center"/>
          </w:tcPr>
          <w:p>
            <w:pPr>
              <w:pStyle w:val="TableContents"/>
              <w:bidi w:val="0"/>
              <w:spacing w:before="0" w:after="0"/>
              <w:ind w:left="0" w:right="0" w:hanging="0"/>
              <w:jc w:val="center"/>
              <w:rPr/>
            </w:pPr>
            <w:hyperlink w:anchor="exhibits">
              <w:r>
                <w:rPr>
                  <w:rStyle w:val="InternetLink"/>
                  <w:rFonts w:ascii="Times New Roman" w:hAnsi="Times New Roman"/>
                  <w:caps w:val="false"/>
                  <w:smallCaps w:val="false"/>
                  <w:sz w:val="20"/>
                  <w:u w:val="single"/>
                </w:rPr>
                <w:t>25</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u w:val="single"/>
                </w:rPr>
                <w:t>Signatures</w:t>
              </w:r>
            </w:hyperlink>
          </w:p>
        </w:tc>
        <w:tc>
          <w:tcPr>
            <w:tcW w:w="230" w:type="dxa"/>
            <w:tcBorders/>
            <w:vAlign w:val="center"/>
          </w:tcPr>
          <w:p>
            <w:pPr>
              <w:pStyle w:val="TableContents"/>
              <w:bidi w:val="0"/>
              <w:spacing w:before="0" w:after="0"/>
              <w:ind w:left="0" w:right="0" w:hanging="0"/>
              <w:jc w:val="center"/>
              <w:rPr/>
            </w:pPr>
            <w:hyperlink w:anchor="signatures">
              <w:r>
                <w:rPr>
                  <w:rStyle w:val="InternetLink"/>
                  <w:rFonts w:ascii="Times New Roman" w:hAnsi="Times New Roman"/>
                  <w:caps w:val="false"/>
                  <w:smallCaps w:val="false"/>
                  <w:sz w:val="20"/>
                  <w:u w:val="single"/>
                </w:rPr>
                <w:t>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FINANCIAL INFORMATION</w:t>
      </w:r>
    </w:p>
    <w:p>
      <w:pPr>
        <w:pStyle w:val="TextBody"/>
        <w:bidi w:val="0"/>
        <w:spacing w:before="0" w:after="0"/>
        <w:ind w:left="0" w:right="0" w:hanging="0"/>
        <w:jc w:val="both"/>
        <w:rPr>
          <w:rFonts w:ascii="Times New Roman" w:hAnsi="Times New Roman"/>
          <w:caps w:val="false"/>
          <w:smallCaps w:val="false"/>
          <w:sz w:val="20"/>
        </w:rPr>
      </w:pPr>
      <w:bookmarkStart w:id="4" w:name="item1"/>
      <w:bookmarkEnd w:id="4"/>
      <w:r>
        <w:rPr>
          <w:rFonts w:ascii="Times New Roman" w:hAnsi="Times New Roman"/>
          <w:b/>
          <w:caps w:val="false"/>
          <w:smallCaps w:val="false"/>
          <w:sz w:val="20"/>
        </w:rPr>
        <w:t>Item 1</w:t>
      </w:r>
      <w:r>
        <w:rPr>
          <w:rFonts w:ascii="Times New Roman" w:hAnsi="Times New Roman"/>
          <w:caps w:val="false"/>
          <w:smallCaps w:val="false"/>
          <w:sz w:val="20"/>
        </w:rPr>
        <w:t> –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alance_sheets"/>
      <w:bookmarkEnd w:id="5"/>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par value and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66"/>
        <w:gridCol w:w="60"/>
        <w:gridCol w:w="125"/>
        <w:gridCol w:w="755"/>
        <w:gridCol w:w="80"/>
        <w:gridCol w:w="60"/>
        <w:gridCol w:w="153"/>
        <w:gridCol w:w="925"/>
        <w:gridCol w:w="81"/>
      </w:tblGrid>
      <w:tr>
        <w:trPr/>
        <w:tc>
          <w:tcPr>
            <w:tcW w:w="79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1" w:type="dxa"/>
            <w:tcBorders/>
            <w:vAlign w:val="center"/>
          </w:tcPr>
          <w:p>
            <w:pPr>
              <w:pStyle w:val="TableContents"/>
              <w:bidi w:val="0"/>
              <w:spacing w:before="0" w:after="283"/>
              <w:jc w:val="left"/>
              <w:rPr/>
            </w:pPr>
            <w:r>
              <w:rPr/>
              <w:t> </w:t>
            </w:r>
          </w:p>
        </w:tc>
      </w:tr>
      <w:tr>
        <w:trPr/>
        <w:tc>
          <w:tcPr>
            <w:tcW w:w="79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7,164</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4,917</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13,520</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 term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7,606</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trademarks,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29,114</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 current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 noncurrent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Commitment and Contingencies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1,100,000,000 shares authorized; 917,285,149 shares issued and outstanding at June 30, 2026 and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18,179</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288,420</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(282,199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(280,594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6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in subsidiary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27,086</w:t>
            </w:r>
          </w:p>
        </w:tc>
        <w:tc>
          <w:tcPr>
            <w:tcW w:w="81" w:type="dxa"/>
            <w:tcBorders/>
            <w:shd w:fill="CCEEFF" w:val="clear"/>
            <w:vAlign w:val="center"/>
          </w:tcPr>
          <w:p>
            <w:pPr>
              <w:pStyle w:val="TableContents"/>
              <w:bidi w:val="0"/>
              <w:spacing w:before="0" w:after="283"/>
              <w:jc w:val="left"/>
              <w:rPr/>
            </w:pPr>
            <w:r>
              <w:rPr/>
              <w:t> </w:t>
            </w:r>
          </w:p>
        </w:tc>
      </w:tr>
      <w:tr>
        <w:trPr/>
        <w:tc>
          <w:tcPr>
            <w:tcW w:w="79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29,114</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operations"/>
      <w:bookmarkEnd w:id="6"/>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5"/>
        <w:gridCol w:w="60"/>
        <w:gridCol w:w="126"/>
        <w:gridCol w:w="1063"/>
        <w:gridCol w:w="80"/>
        <w:gridCol w:w="60"/>
        <w:gridCol w:w="126"/>
        <w:gridCol w:w="1063"/>
        <w:gridCol w:w="80"/>
        <w:gridCol w:w="60"/>
        <w:gridCol w:w="125"/>
        <w:gridCol w:w="1055"/>
        <w:gridCol w:w="80"/>
        <w:gridCol w:w="60"/>
        <w:gridCol w:w="125"/>
        <w:gridCol w:w="1055"/>
        <w:gridCol w:w="82"/>
      </w:tblGrid>
      <w:tr>
        <w:trPr/>
        <w:tc>
          <w:tcPr>
            <w:tcW w:w="4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2" w:type="dxa"/>
            <w:tcBorders/>
            <w:vAlign w:val="center"/>
          </w:tcPr>
          <w:p>
            <w:pPr>
              <w:pStyle w:val="TableContents"/>
              <w:bidi w:val="0"/>
              <w:spacing w:before="0" w:after="283"/>
              <w:jc w:val="left"/>
              <w:rPr/>
            </w:pPr>
            <w:r>
              <w:rPr/>
              <w:t> </w:t>
            </w:r>
          </w:p>
        </w:tc>
      </w:tr>
      <w:tr>
        <w:trPr/>
        <w:tc>
          <w:tcPr>
            <w:tcW w:w="4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 basic and diluted:</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 attributable to Liquidmetal Technologies shareholders,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weighted average shares - basic and diluted</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equity"/>
      <w:bookmarkEnd w:id="7"/>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8"/>
        <w:gridCol w:w="60"/>
        <w:gridCol w:w="297"/>
        <w:gridCol w:w="397"/>
        <w:gridCol w:w="60"/>
        <w:gridCol w:w="60"/>
        <w:gridCol w:w="60"/>
        <w:gridCol w:w="920"/>
        <w:gridCol w:w="60"/>
        <w:gridCol w:w="60"/>
        <w:gridCol w:w="182"/>
        <w:gridCol w:w="483"/>
        <w:gridCol w:w="60"/>
        <w:gridCol w:w="60"/>
        <w:gridCol w:w="137"/>
        <w:gridCol w:w="648"/>
        <w:gridCol w:w="60"/>
        <w:gridCol w:w="60"/>
        <w:gridCol w:w="120"/>
        <w:gridCol w:w="665"/>
        <w:gridCol w:w="60"/>
        <w:gridCol w:w="60"/>
        <w:gridCol w:w="132"/>
        <w:gridCol w:w="803"/>
        <w:gridCol w:w="80"/>
        <w:gridCol w:w="60"/>
        <w:gridCol w:w="293"/>
        <w:gridCol w:w="777"/>
        <w:gridCol w:w="80"/>
        <w:gridCol w:w="60"/>
        <w:gridCol w:w="237"/>
        <w:gridCol w:w="562"/>
        <w:gridCol w:w="80"/>
        <w:gridCol w:w="60"/>
        <w:gridCol w:w="110"/>
        <w:gridCol w:w="515"/>
        <w:gridCol w:w="99"/>
      </w:tblGrid>
      <w:tr>
        <w:trPr/>
        <w:tc>
          <w:tcPr>
            <w:tcW w:w="1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Warrants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part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1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other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Non-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1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Preferred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comprehensive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controlling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rStyle w:val="Emphasis"/>
              </w:rPr>
              <w:t> </w:t>
            </w:r>
          </w:p>
        </w:tc>
        <w:tc>
          <w:tcPr>
            <w:tcW w:w="99" w:type="dxa"/>
            <w:tcBorders/>
            <w:vAlign w:val="center"/>
          </w:tcPr>
          <w:p>
            <w:pPr>
              <w:pStyle w:val="TableContents"/>
              <w:bidi w:val="0"/>
              <w:spacing w:before="0" w:after="283"/>
              <w:jc w:val="left"/>
              <w:rPr/>
            </w:pPr>
            <w:r>
              <w:rPr/>
              <w:t> </w:t>
            </w:r>
          </w:p>
        </w:tc>
      </w:tr>
      <w:tr>
        <w:trPr/>
        <w:tc>
          <w:tcPr>
            <w:tcW w:w="1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99" w:type="dxa"/>
            <w:tcBorders/>
            <w:vAlign w:val="center"/>
          </w:tcPr>
          <w:p>
            <w:pPr>
              <w:pStyle w:val="TableContents"/>
              <w:bidi w:val="0"/>
              <w:spacing w:before="0" w:after="283"/>
              <w:jc w:val="left"/>
              <w:rPr/>
            </w:pPr>
            <w:r>
              <w:rPr/>
              <w:t> </w:t>
            </w:r>
          </w:p>
        </w:tc>
      </w:tr>
      <w:tr>
        <w:trPr/>
        <w:tc>
          <w:tcPr>
            <w:tcW w:w="1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2025</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3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(280,594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27,086</w:t>
            </w:r>
          </w:p>
        </w:tc>
        <w:tc>
          <w:tcPr>
            <w:tcW w:w="99"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39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w:t>
            </w:r>
          </w:p>
        </w:tc>
        <w:tc>
          <w:tcPr>
            <w:tcW w:w="99"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39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(1,606</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68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39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68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loss</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2026</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288,491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(282,199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25,401</w:t>
            </w:r>
          </w:p>
        </w:tc>
        <w:tc>
          <w:tcPr>
            <w:tcW w:w="99" w:type="dxa"/>
            <w:tcBorders/>
            <w:shd w:fill="FFFFFF" w:val="clear"/>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2024</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39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(278,253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29,140</w:t>
            </w:r>
          </w:p>
        </w:tc>
        <w:tc>
          <w:tcPr>
            <w:tcW w:w="99" w:type="dxa"/>
            <w:tcBorders/>
            <w:shd w:fill="FFFFFF" w:val="clear"/>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39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p>
        </w:tc>
        <w:tc>
          <w:tcPr>
            <w:tcW w:w="99" w:type="dxa"/>
            <w:tcBorders/>
            <w:shd w:fill="FFFFFF" w:val="clear"/>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39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(1,093</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68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gain</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p>
        </w:tc>
        <w:tc>
          <w:tcPr>
            <w:tcW w:w="99" w:type="dxa"/>
            <w:tcBorders/>
            <w:shd w:fill="FFFFFF" w:val="clear"/>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2025</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288,357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(279,345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28,199</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8"/>
        <w:gridCol w:w="60"/>
        <w:gridCol w:w="297"/>
        <w:gridCol w:w="397"/>
        <w:gridCol w:w="60"/>
        <w:gridCol w:w="60"/>
        <w:gridCol w:w="60"/>
        <w:gridCol w:w="920"/>
        <w:gridCol w:w="60"/>
        <w:gridCol w:w="60"/>
        <w:gridCol w:w="182"/>
        <w:gridCol w:w="483"/>
        <w:gridCol w:w="60"/>
        <w:gridCol w:w="60"/>
        <w:gridCol w:w="137"/>
        <w:gridCol w:w="648"/>
        <w:gridCol w:w="60"/>
        <w:gridCol w:w="60"/>
        <w:gridCol w:w="120"/>
        <w:gridCol w:w="665"/>
        <w:gridCol w:w="60"/>
        <w:gridCol w:w="60"/>
        <w:gridCol w:w="132"/>
        <w:gridCol w:w="803"/>
        <w:gridCol w:w="80"/>
        <w:gridCol w:w="60"/>
        <w:gridCol w:w="254"/>
        <w:gridCol w:w="815"/>
        <w:gridCol w:w="80"/>
        <w:gridCol w:w="60"/>
        <w:gridCol w:w="237"/>
        <w:gridCol w:w="562"/>
        <w:gridCol w:w="80"/>
        <w:gridCol w:w="60"/>
        <w:gridCol w:w="110"/>
        <w:gridCol w:w="515"/>
        <w:gridCol w:w="100"/>
      </w:tblGrid>
      <w:tr>
        <w:trPr/>
        <w:tc>
          <w:tcPr>
            <w:tcW w:w="1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Warrants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part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left"/>
              <w:rPr/>
            </w:pPr>
            <w:r>
              <w:rPr/>
              <w:t> </w:t>
            </w:r>
          </w:p>
        </w:tc>
      </w:tr>
      <w:tr>
        <w:trPr/>
        <w:tc>
          <w:tcPr>
            <w:tcW w:w="1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other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Non-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left"/>
              <w:rPr/>
            </w:pPr>
            <w:r>
              <w:rPr/>
              <w:t> </w:t>
            </w:r>
          </w:p>
        </w:tc>
      </w:tr>
      <w:tr>
        <w:trPr/>
        <w:tc>
          <w:tcPr>
            <w:tcW w:w="1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Preferred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Paid-in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comprehensive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controlling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rStyle w:val="Emphasis"/>
              </w:rPr>
              <w:t> </w:t>
            </w:r>
          </w:p>
        </w:tc>
        <w:tc>
          <w:tcPr>
            <w:tcW w:w="100" w:type="dxa"/>
            <w:tcBorders/>
            <w:vAlign w:val="center"/>
          </w:tcPr>
          <w:p>
            <w:pPr>
              <w:pStyle w:val="TableContents"/>
              <w:bidi w:val="0"/>
              <w:spacing w:before="0" w:after="283"/>
              <w:jc w:val="left"/>
              <w:rPr/>
            </w:pPr>
            <w:r>
              <w:rPr/>
              <w:t> </w:t>
            </w:r>
          </w:p>
        </w:tc>
      </w:tr>
      <w:tr>
        <w:trPr/>
        <w:tc>
          <w:tcPr>
            <w:tcW w:w="1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100" w:type="dxa"/>
            <w:tcBorders/>
            <w:vAlign w:val="center"/>
          </w:tcPr>
          <w:p>
            <w:pPr>
              <w:pStyle w:val="TableContents"/>
              <w:bidi w:val="0"/>
              <w:spacing w:before="0" w:after="283"/>
              <w:jc w:val="left"/>
              <w:rPr/>
            </w:pPr>
            <w:r>
              <w:rPr/>
              <w:t> </w:t>
            </w:r>
          </w:p>
        </w:tc>
      </w:tr>
      <w:tr>
        <w:trPr/>
        <w:tc>
          <w:tcPr>
            <w:tcW w:w="1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March 31, 2026</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3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(281,359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26,358</w:t>
            </w:r>
          </w:p>
        </w:tc>
        <w:tc>
          <w:tcPr>
            <w:tcW w:w="100"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39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100"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39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(841</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68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39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w:t>
            </w:r>
          </w:p>
        </w:tc>
        <w:tc>
          <w:tcPr>
            <w:tcW w:w="1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68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gain</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2026</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288,491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(282,199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25,401</w:t>
            </w:r>
          </w:p>
        </w:tc>
        <w:tc>
          <w:tcPr>
            <w:tcW w:w="100" w:type="dxa"/>
            <w:tcBorders/>
            <w:shd w:fill="FFFFFF" w:val="clear"/>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March 31, 2025</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3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(278,821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28,646</w:t>
            </w:r>
          </w:p>
        </w:tc>
        <w:tc>
          <w:tcPr>
            <w:tcW w:w="100"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0"/>
              <w:jc w:val="left"/>
              <w:rPr/>
            </w:pPr>
            <w:r>
              <w:rPr/>
              <w:t> </w:t>
            </w:r>
          </w:p>
        </w:tc>
        <w:tc>
          <w:tcPr>
            <w:tcW w:w="39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100"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39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w:t>
            </w:r>
          </w:p>
        </w:tc>
        <w:tc>
          <w:tcPr>
            <w:tcW w:w="10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68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loss</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100" w:type="dxa"/>
            <w:tcBorders/>
            <w:shd w:fill="CCEEFF" w:val="clear"/>
            <w:vAlign w:val="center"/>
          </w:tcPr>
          <w:p>
            <w:pPr>
              <w:pStyle w:val="TableContents"/>
              <w:bidi w:val="0"/>
              <w:spacing w:before="0" w:after="283"/>
              <w:jc w:val="left"/>
              <w:rPr/>
            </w:pPr>
            <w:r>
              <w:rPr/>
              <w:t> </w:t>
            </w:r>
          </w:p>
        </w:tc>
      </w:tr>
      <w:tr>
        <w:trPr/>
        <w:tc>
          <w:tcPr>
            <w:tcW w:w="1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168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2025</w:t>
            </w:r>
          </w:p>
        </w:tc>
        <w:tc>
          <w:tcPr>
            <w:tcW w:w="60" w:type="dxa"/>
            <w:tcBorders/>
            <w:shd w:fill="CCEEFF" w:val="clear"/>
            <w:vAlign w:val="center"/>
          </w:tcPr>
          <w:p>
            <w:pPr>
              <w:pStyle w:val="TableContents"/>
              <w:bidi w:val="0"/>
              <w:spacing w:before="0" w:after="283"/>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288,357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(279,345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28,199</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income_loss"/>
      <w:bookmarkEnd w:id="8"/>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79"/>
        <w:gridCol w:w="60"/>
        <w:gridCol w:w="243"/>
        <w:gridCol w:w="768"/>
        <w:gridCol w:w="155"/>
        <w:gridCol w:w="116"/>
        <w:gridCol w:w="243"/>
        <w:gridCol w:w="768"/>
        <w:gridCol w:w="80"/>
        <w:gridCol w:w="60"/>
        <w:gridCol w:w="181"/>
        <w:gridCol w:w="791"/>
        <w:gridCol w:w="116"/>
        <w:gridCol w:w="87"/>
        <w:gridCol w:w="181"/>
        <w:gridCol w:w="791"/>
        <w:gridCol w:w="86"/>
      </w:tblGrid>
      <w:tr>
        <w:trPr/>
        <w:tc>
          <w:tcPr>
            <w:tcW w:w="54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6" w:type="dxa"/>
            <w:tcBorders/>
            <w:vAlign w:val="center"/>
          </w:tcPr>
          <w:p>
            <w:pPr>
              <w:pStyle w:val="TableContents"/>
              <w:bidi w:val="0"/>
              <w:spacing w:before="0" w:after="283"/>
              <w:jc w:val="left"/>
              <w:rPr/>
            </w:pPr>
            <w:r>
              <w:rPr/>
              <w:t> </w:t>
            </w:r>
          </w:p>
        </w:tc>
      </w:tr>
      <w:tr>
        <w:trPr/>
        <w:tc>
          <w:tcPr>
            <w:tcW w:w="54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6"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6" w:type="dxa"/>
            <w:tcBorders/>
            <w:vAlign w:val="center"/>
          </w:tcPr>
          <w:p>
            <w:pPr>
              <w:pStyle w:val="TableContents"/>
              <w:bidi w:val="0"/>
              <w:spacing w:before="0" w:after="283"/>
              <w:jc w:val="left"/>
              <w:rPr/>
            </w:pPr>
            <w:r>
              <w:rPr/>
              <w:t> </w:t>
            </w:r>
          </w:p>
        </w:tc>
      </w:tr>
      <w:tr>
        <w:trPr/>
        <w:tc>
          <w:tcPr>
            <w:tcW w:w="54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gains (losses) on available-for-sale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6" w:type="dxa"/>
            <w:tcBorders/>
            <w:shd w:fill="FFFFFF" w:val="cle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foreign currency translation</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6" w:type="dxa"/>
            <w:tcBorders/>
            <w:shd w:fill="FFFFFF" w:val="cle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5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6" w:type="dxa"/>
            <w:tcBorders/>
            <w:shd w:fill="FFFFFF" w:val="cle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 attributable to Liquidmetal Technologies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(989</w:t>
            </w:r>
          </w:p>
        </w:tc>
        <w:tc>
          <w:tcPr>
            <w:tcW w:w="1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6"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(1,755</w:t>
            </w:r>
          </w:p>
        </w:tc>
        <w:tc>
          <w:tcPr>
            <w:tcW w:w="11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(1,027</w:t>
            </w:r>
          </w:p>
        </w:tc>
        <w:tc>
          <w:tcPr>
            <w:tcW w:w="8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cash_flows"/>
      <w:bookmarkEnd w:id="9"/>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367" w:type="dxa"/>
        <w:jc w:val="left"/>
        <w:tblInd w:w="0" w:type="dxa"/>
        <w:tblLayout w:type="fixed"/>
        <w:tblCellMar>
          <w:top w:w="0" w:type="dxa"/>
          <w:left w:w="0" w:type="dxa"/>
          <w:bottom w:w="0" w:type="dxa"/>
          <w:right w:w="0" w:type="dxa"/>
        </w:tblCellMar>
      </w:tblPr>
      <w:tblGrid>
        <w:gridCol w:w="5930"/>
        <w:gridCol w:w="60"/>
        <w:gridCol w:w="194"/>
        <w:gridCol w:w="846"/>
        <w:gridCol w:w="124"/>
        <w:gridCol w:w="93"/>
        <w:gridCol w:w="194"/>
        <w:gridCol w:w="846"/>
        <w:gridCol w:w="80"/>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investment (gains) loss, net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investment gain (loss),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foreign currency translation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equipment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and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(419</w:t>
            </w:r>
          </w:p>
        </w:tc>
        <w:tc>
          <w:tcPr>
            <w:tcW w:w="12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debt securities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debt securities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equipment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1,521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186</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6,011</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8,266</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5,618</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bookmarkStart w:id="10" w:name="notes"/>
      <w:bookmarkEnd w:id="10"/>
      <w:r>
        <w:rPr>
          <w:rFonts w:ascii="Times New Roman" w:hAnsi="Times New Roman"/>
          <w:b/>
          <w:caps w:val="false"/>
          <w:smallCaps w:val="false"/>
          <w:sz w:val="20"/>
        </w:rPr>
        <w:t>LIQUIDMETAL TECHNOLOGIES, INC. AND SUBSIDIARIES</w:t>
      </w:r>
      <w:r>
        <w:rPr>
          <w:rFonts w:ascii="Times New Roman" w:hAnsi="Times New Roman"/>
          <w:caps w:val="false"/>
          <w:smallCaps w:val="false"/>
          <w:sz w:val="20"/>
        </w:rPr>
        <w:br/>
      </w:r>
      <w:r>
        <w:rPr>
          <w:rFonts w:ascii="Times New Roman" w:hAnsi="Times New Roman"/>
          <w:b/>
          <w:caps w:val="false"/>
          <w:smallCaps w:val="false"/>
          <w:sz w:val="20"/>
        </w:rPr>
        <w:t>NOTES TO CONSOLIDATED FINANCIAL STATEMENTS</w:t>
      </w:r>
      <w:r>
        <w:rPr>
          <w:rFonts w:ascii="Times New Roman" w:hAnsi="Times New Roman"/>
          <w:caps w:val="false"/>
          <w:smallCaps w:val="false"/>
          <w:sz w:val="20"/>
        </w:rPr>
        <w:br/>
      </w:r>
      <w:r>
        <w:rPr>
          <w:rFonts w:ascii="Times New Roman" w:hAnsi="Times New Roman"/>
          <w:b/>
          <w:caps w:val="false"/>
          <w:smallCaps w:val="false"/>
          <w:sz w:val="20"/>
        </w:rPr>
        <w:t xml:space="preserve">For the Six Months Ended </w:t>
      </w:r>
      <w:r>
        <w:rPr>
          <w:rStyle w:val="Emphasis"/>
          <w:rFonts w:ascii="Times New Roman" w:hAnsi="Times New Roman"/>
          <w:b/>
          <w:caps w:val="false"/>
          <w:smallCaps w:val="false"/>
          <w:sz w:val="20"/>
        </w:rPr>
        <w:t xml:space="preserve">June 30, 2026 </w:t>
      </w:r>
      <w:r>
        <w:rPr>
          <w:rFonts w:ascii="Times New Roman" w:hAnsi="Times New Roman"/>
          <w:b/>
          <w:caps w:val="false"/>
          <w:smallCaps w:val="false"/>
          <w:sz w:val="20"/>
        </w:rPr>
        <w:t xml:space="preserve">and </w:t>
      </w:r>
      <w:r>
        <w:rPr>
          <w:rStyle w:val="Emphasis"/>
          <w:rFonts w:ascii="Times New Roman" w:hAnsi="Times New Roman"/>
          <w:b/>
          <w:caps w:val="false"/>
          <w:smallCaps w:val="false"/>
          <w:sz w:val="20"/>
        </w:rPr>
        <w:t>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(numbers in thousands, except percentages,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 xml:space="preserve">DESCRIPTION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Liquidmetal Technologies, Inc. (the “Company”) is a materials technology and manufacturing company focused on the development and commercialization of products made from proprietary amorphous alloys and/or utilizing proprietary amorphous alloy manufacturing technologies. In addition to developing the Company’s manufacturing facility through our subsidiary in China, the Company works with </w:t>
      </w:r>
      <w:r>
        <w:rPr>
          <w:rStyle w:val="Emphasis"/>
          <w:rFonts w:ascii="Times New Roman" w:hAnsi="Times New Roman"/>
          <w:caps w:val="false"/>
          <w:smallCaps w:val="false"/>
          <w:sz w:val="20"/>
        </w:rPr>
        <w:t>third</w:t>
      </w:r>
      <w:r>
        <w:rPr>
          <w:rFonts w:ascii="Times New Roman" w:hAnsi="Times New Roman"/>
          <w:caps w:val="false"/>
          <w:smallCaps w:val="false"/>
          <w:sz w:val="20"/>
        </w:rPr>
        <w:t>-party manufacturing and commercial partners to develop and commercial products made from proprietary amorphous alloys.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the Company believes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The Company believes that the alloys and the molding technologies it employs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Interestingly, all of these characteristics are achievable from the molding process, so design engineers often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to select specific alloys to achieve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characteristics as is the case with crystalline materials. The Company believes these advantages could result in Liquidmetal alloys supplanting high-performance alloys, such as titanium and stainless steel, and other incumbent materials in a wide variety of applications. Moreover, the Company believes these advantages could enable the introduction of entirely new products and applications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revenues are derived from i) selling bulk Liquidmetal alloy products to customers who produce medical devices, robotic components, automotive assemblies, sports and leisure goods, and non-consumer electronic devices, ii) selling tooling and prototype parts such as demonstration parts and test samples for customers with products in development, iii) product licensing and royalty revenue, and iv) research and development revenue. The Company expects that these sources of revenue will continue to significantly change the character of the Company’s revenue mix.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 xml:space="preserve">BASIS OF PRESENTATION AND 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accompanying unaudited interim consolidated financial statements as of and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2025</w:t>
      </w:r>
      <w:r>
        <w:rPr>
          <w:rFonts w:ascii="Times New Roman" w:hAnsi="Times New Roman"/>
          <w:caps w:val="false"/>
          <w:smallCaps w:val="false"/>
          <w:sz w:val="20"/>
        </w:rPr>
        <w:t> have been prepared in accordance with accounting principles generally accepted in the United States of America (“US GAAP”) for interim financial information and in accordance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-Q.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include all of the information and notes required by US GAAP for complete financial statements. In the opinion of management, all adjustments (consisting only of normal recurring accruals) considered necessary for a fair presentation have been included. All intercompany balances and transactions have been eliminated in consolidation. Operating results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are </w:t>
      </w:r>
      <w:r>
        <w:rPr>
          <w:rStyle w:val="Emphasis"/>
          <w:rFonts w:ascii="Times New Roman" w:hAnsi="Times New Roman"/>
          <w:caps w:val="false"/>
          <w:smallCaps w:val="false"/>
          <w:sz w:val="20"/>
        </w:rPr>
        <w:t>not</w:t>
      </w:r>
      <w:r>
        <w:rPr>
          <w:rFonts w:ascii="Times New Roman" w:hAnsi="Times New Roman"/>
          <w:caps w:val="false"/>
          <w:smallCaps w:val="false"/>
          <w:sz w:val="20"/>
        </w:rPr>
        <w:t> necessarily indicative of the results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expected for any future periods or the year ending </w:t>
      </w:r>
      <w:r>
        <w:rPr>
          <w:rStyle w:val="Emphasis"/>
          <w:rFonts w:ascii="Times New Roman" w:hAnsi="Times New Roman"/>
          <w:caps w:val="false"/>
          <w:smallCaps w:val="false"/>
          <w:sz w:val="20"/>
        </w:rPr>
        <w:t xml:space="preserve"> December 31, 2026. </w:t>
      </w:r>
      <w:r>
        <w:rPr>
          <w:rFonts w:ascii="Times New Roman" w:hAnsi="Times New Roman"/>
          <w:caps w:val="false"/>
          <w:smallCaps w:val="false"/>
          <w:sz w:val="20"/>
        </w:rPr>
        <w:t>The accompanying unaudited consolidated financial statements should be read in conjunction with the Company's </w:t>
      </w:r>
      <w:r>
        <w:rPr>
          <w:rStyle w:val="Emphasis"/>
          <w:rFonts w:ascii="Times New Roman" w:hAnsi="Times New Roman"/>
          <w:caps w:val="false"/>
          <w:smallCaps w:val="false"/>
          <w:sz w:val="20"/>
        </w:rPr>
        <w:t>2025</w:t>
      </w:r>
      <w:r>
        <w:rPr>
          <w:rFonts w:ascii="Times New Roman" w:hAnsi="Times New Roman"/>
          <w:caps w:val="false"/>
          <w:smallCaps w:val="false"/>
          <w:sz w:val="20"/>
        </w:rPr>
        <w:t>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filed with the Securities and Exchange Commission (“SEC”) on </w:t>
      </w:r>
      <w:r>
        <w:rPr>
          <w:rStyle w:val="Emphasis"/>
          <w:rFonts w:ascii="Times New Roman" w:hAnsi="Times New Roman"/>
          <w:caps w:val="false"/>
          <w:smallCaps w:val="false"/>
          <w:sz w:val="20"/>
        </w:rPr>
        <w:t xml:space="preserve"> March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available-for-sale debt securities in an unrealized loss position at each reporting date to determine whether a credit loss exists. If the Company intends to sell a security, or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required to sell the security before recovery of its amortized cost basis, the security’s amortized cost basis is written down to fair value through earnings. Otherwise, any credit-related impairment is recognized through an allowance for credit losses, limited to the amount by which the amortized cost basis exceeds fair value, with any remaining unrealized loss recognized in other comprehensive income. Based on this assessment,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an allowance for credit losses on its available-for-sale debt securities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estimated fair values of financial instruments reported in the consolidated financial statements have been determined using available market information and valuation methodologies, as applicable. The fair value of cash and restricted cash approximate their carrying value due to their short maturities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instruments within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Entities are required to maximize the use of observable inputs and minimize the use of unobservable inputs when measuring fair value based upon the following fair value hierarchy:</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7" w:type="dxa"/>
        <w:tblLayout w:type="fixed"/>
        <w:tblCellMar>
          <w:top w:w="28" w:type="dxa"/>
          <w:left w:w="28" w:type="dxa"/>
          <w:bottom w:w="28" w:type="dxa"/>
          <w:right w:w="28" w:type="dxa"/>
        </w:tblCellMar>
      </w:tblPr>
      <w:tblGrid>
        <w:gridCol w:w="890"/>
        <w:gridCol w:w="5225"/>
      </w:tblGrid>
      <w:tr>
        <w:trPr/>
        <w:tc>
          <w:tcPr>
            <w:tcW w:w="8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w:t>
            </w:r>
          </w:p>
        </w:tc>
        <w:tc>
          <w:tcPr>
            <w:tcW w:w="522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90"/>
        <w:gridCol w:w="9315"/>
      </w:tblGrid>
      <w:tr>
        <w:trPr/>
        <w:tc>
          <w:tcPr>
            <w:tcW w:w="8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w:t>
            </w:r>
          </w:p>
        </w:tc>
        <w:tc>
          <w:tcPr>
            <w:tcW w:w="931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Observable inputs other than 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prices, such as quoted prices for similar assets or liabilities; quoted prices in markets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active; or other inputs that are observable or can be corroborated by observable market data for substantially the full term of the assets or liabilities;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90"/>
        <w:gridCol w:w="9315"/>
      </w:tblGrid>
      <w:tr>
        <w:trPr/>
        <w:tc>
          <w:tcPr>
            <w:tcW w:w="8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Level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w:t>
            </w:r>
          </w:p>
        </w:tc>
        <w:tc>
          <w:tcPr>
            <w:tcW w:w="931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Unobservable inputs that are supported by little or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market activity and that are significant to the fair value of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681" w:type="dxa"/>
        <w:jc w:val="left"/>
        <w:tblInd w:w="-7" w:type="dxa"/>
        <w:tblLayout w:type="fixed"/>
        <w:tblCellMar>
          <w:top w:w="28" w:type="dxa"/>
          <w:left w:w="28" w:type="dxa"/>
          <w:bottom w:w="28" w:type="dxa"/>
          <w:right w:w="28" w:type="dxa"/>
        </w:tblCellMar>
      </w:tblPr>
      <w:tblGrid>
        <w:gridCol w:w="3410"/>
        <w:gridCol w:w="60"/>
        <w:gridCol w:w="191"/>
        <w:gridCol w:w="743"/>
        <w:gridCol w:w="60"/>
        <w:gridCol w:w="60"/>
        <w:gridCol w:w="127"/>
        <w:gridCol w:w="492"/>
        <w:gridCol w:w="60"/>
        <w:gridCol w:w="60"/>
        <w:gridCol w:w="127"/>
        <w:gridCol w:w="492"/>
        <w:gridCol w:w="60"/>
        <w:gridCol w:w="60"/>
        <w:gridCol w:w="377"/>
        <w:gridCol w:w="242"/>
        <w:gridCol w:w="60"/>
      </w:tblGrid>
      <w:tr>
        <w:trPr/>
        <w:tc>
          <w:tcPr>
            <w:tcW w:w="341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934"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37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4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(short-term)</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37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(long-term)</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9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12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37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242"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637" w:type="dxa"/>
        <w:jc w:val="left"/>
        <w:tblInd w:w="-7" w:type="dxa"/>
        <w:tblLayout w:type="fixed"/>
        <w:tblCellMar>
          <w:top w:w="28" w:type="dxa"/>
          <w:left w:w="28" w:type="dxa"/>
          <w:bottom w:w="28" w:type="dxa"/>
          <w:right w:w="28" w:type="dxa"/>
        </w:tblCellMar>
      </w:tblPr>
      <w:tblGrid>
        <w:gridCol w:w="3410"/>
        <w:gridCol w:w="60"/>
        <w:gridCol w:w="97"/>
        <w:gridCol w:w="793"/>
        <w:gridCol w:w="60"/>
        <w:gridCol w:w="60"/>
        <w:gridCol w:w="68"/>
        <w:gridCol w:w="551"/>
        <w:gridCol w:w="60"/>
        <w:gridCol w:w="60"/>
        <w:gridCol w:w="68"/>
        <w:gridCol w:w="551"/>
        <w:gridCol w:w="60"/>
        <w:gridCol w:w="60"/>
        <w:gridCol w:w="265"/>
        <w:gridCol w:w="354"/>
        <w:gridCol w:w="60"/>
      </w:tblGrid>
      <w:tr>
        <w:trPr/>
        <w:tc>
          <w:tcPr>
            <w:tcW w:w="341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890"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FairValue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hanging="0"/>
              <w:jc w:val="left"/>
              <w:rPr/>
            </w:pPr>
            <w:r>
              <w:rPr/>
              <w:t> </w:t>
            </w:r>
          </w:p>
        </w:tc>
        <w:tc>
          <w:tcPr>
            <w:tcW w:w="619" w:type="dxa"/>
            <w:gridSpan w:val="2"/>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7"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93"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354"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(short-term)</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65"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(long-term)</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7"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8"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65"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adopted FASB Accounting Standards Codification, or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Leases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which requires the recognition of the right-of-use assets and relating operating and finance lease liabilities on the balance sheet. Under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all leases are required to be recorded on the balance sheet and are classified as either operating leases or finance leases. The lease classification affects the expense recognition in the income statement. Operating lease charges are recorded entirely in operating expenses. Finance lease charges are split, where amortization of the right-of-use asset is recorded in operating expenses and an implied interest component is recorded in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operations in China. The Company's foreign subsidiaries maintain their accounting records in their respective local currencies, which are their functional currencies. For consolidation purposes, assets and liabilities are translated into U.S. dollars using exchange rates in effect at the balance sheet date. Revenue and expenses are translated using average exchange rates during the reporting period. Translation adjustments resulting from the consolidation of foreign operations are recorded in accumulated other comprehensive income (loss), a component of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Other Recent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recent accounting pronouncements issued by the FASB (including its Emerging Issues Task Force), the AICPA and the SEC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or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believed by management to have a material impact on the Company's present or future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Hangzhou Feifeng Liquidmetal Co., Ltd.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Liquidmetal Asia Holdings Limited (“Liquidmetal Asia”), a Hong Kong based, wholly owned subsidiary of the Company, entered into a shareholders agreement with Mr. Chong Liu, an individual investor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The Joint Venture Company is owned 70% by Liquidmetal Asia and 30% by Mr. Liu and has been capitalized with $6.0 million USD of initial capital, of which $4.2 million has been contributed by Liquidmetal Asia, and $1.8 million will be contributed by Mr. Liu on or before </w:t>
      </w:r>
      <w:r>
        <w:rPr>
          <w:rStyle w:val="Emphasis"/>
          <w:rFonts w:ascii="Times New Roman" w:hAnsi="Times New Roman"/>
          <w:caps w:val="false"/>
          <w:smallCaps w:val="false"/>
          <w:sz w:val="20"/>
        </w:rPr>
        <w:t>May 25,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Yihao Manufacturing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12, 2022, </w:t>
      </w:r>
      <w:r>
        <w:rPr>
          <w:rFonts w:ascii="Times New Roman" w:hAnsi="Times New Roman"/>
          <w:caps w:val="false"/>
          <w:smallCaps w:val="false"/>
          <w:sz w:val="20"/>
        </w:rPr>
        <w:t xml:space="preserve">the Company entered into a manufacturing agreement (“Manufacturing Agreement”) with Dongguan Yihao Metal Materials Technology Co. Ltd. (“Yihao”) to become an outsourced contract manufacturer of the Company’s products. Under the Manufacturing Agreement, which has a term of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Facility Purchase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16, 2017, </w:t>
      </w:r>
      <w:r>
        <w:rPr>
          <w:rFonts w:ascii="Times New Roman" w:hAnsi="Times New Roman"/>
          <w:caps w:val="false"/>
          <w:smallCaps w:val="false"/>
          <w:sz w:val="20"/>
        </w:rPr>
        <w:t>the Company purchased a 41,000 square foot facility (the “Facility”) located in Lake Forest, CA for $7,818.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23, 2020, 20321</w:t>
      </w:r>
      <w:r>
        <w:rPr>
          <w:rFonts w:ascii="Times New Roman" w:hAnsi="Times New Roman"/>
          <w:caps w:val="false"/>
          <w:smallCaps w:val="false"/>
          <w:sz w:val="20"/>
        </w:rPr>
        <w:t xml:space="preserve"> Valencia, LLC, a Delaware limited liability company and wholly owned subsidiary of the Company that owns the Facility, entered into a lease agreement pursuant to which the Company leased to MatterHackers, Inc., a Delaware corporation (“Tenant”), an approximately 32,534 square foot portion of the Facility. The lease term was for 5 years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months and expired on </w:t>
      </w:r>
      <w:r>
        <w:rPr>
          <w:rStyle w:val="Emphasis"/>
          <w:rFonts w:ascii="Times New Roman" w:hAnsi="Times New Roman"/>
          <w:caps w:val="false"/>
          <w:smallCaps w:val="false"/>
          <w:sz w:val="20"/>
        </w:rPr>
        <w:t xml:space="preserve">April 30, 2025. </w:t>
      </w:r>
      <w:r>
        <w:rPr>
          <w:rFonts w:ascii="Times New Roman" w:hAnsi="Times New Roman"/>
          <w:caps w:val="false"/>
          <w:smallCaps w:val="false"/>
          <w:sz w:val="20"/>
        </w:rPr>
        <w:t>The base rent payable under the lease was $32,534 per month initially and was subject to periodic increases up to a maximum of approximately $54,000 per month. Tenant paid approximately 79% of common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26, 2025, </w:t>
      </w:r>
      <w:r>
        <w:rPr>
          <w:rFonts w:ascii="Times New Roman" w:hAnsi="Times New Roman"/>
          <w:caps w:val="false"/>
          <w:smallCaps w:val="false"/>
          <w:sz w:val="20"/>
        </w:rPr>
        <w:t xml:space="preserve">the Company entered into a new lease agreement (the “Facility Lease”) for a 5 year term commencing on </w:t>
      </w:r>
      <w:r>
        <w:rPr>
          <w:rStyle w:val="Emphasis"/>
          <w:rFonts w:ascii="Times New Roman" w:hAnsi="Times New Roman"/>
          <w:caps w:val="false"/>
          <w:smallCaps w:val="false"/>
          <w:sz w:val="20"/>
        </w:rPr>
        <w:t xml:space="preserve">May 1, 2025 </w:t>
      </w:r>
      <w:r>
        <w:rPr>
          <w:rFonts w:ascii="Times New Roman" w:hAnsi="Times New Roman"/>
          <w:caps w:val="false"/>
          <w:smallCaps w:val="false"/>
          <w:sz w:val="20"/>
        </w:rPr>
        <w:t xml:space="preserve">and expanded the leased square footage to 40,090 square feet. The base rent payable under the Facility Lease is $51,716 per month initially and is subject to periodic increases up to a maximum of approximately $58,000 per month. Tenant will pay approximately 98% of building operating expenses. The Facility Lease grants the Company or Tenant the right to terminate the Facility Lease after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and a half years into the lease term and has other customary provisions, including provisions relating to default and usage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u w:val="single"/>
        </w:rPr>
        <w:t>2016</w:t>
      </w:r>
      <w:r>
        <w:rPr>
          <w:rFonts w:ascii="Times New Roman" w:hAnsi="Times New Roman"/>
          <w:b/>
          <w:caps w:val="false"/>
          <w:smallCaps w:val="false"/>
          <w:sz w:val="20"/>
          <w:u w:val="single"/>
        </w:rPr>
        <w:t xml:space="preserv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2016, </w:t>
      </w:r>
      <w:r>
        <w:rPr>
          <w:rFonts w:ascii="Times New Roman" w:hAnsi="Times New Roman"/>
          <w:caps w:val="false"/>
          <w:smallCaps w:val="false"/>
          <w:sz w:val="20"/>
        </w:rPr>
        <w:t xml:space="preserve">the Company entered into a Securities Purchase Agreement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with Liquidmetal Technology Limited, a Hong Kong company (the “Investor”), which is controlled by the Company’s Chairman, Professor Li.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provided for the purchase by the Investor of a total of 405,000,000 shares of the Company’s common stock for an aggregate purchase price of $63,400. The transaction occurred in multiple closings, with the Investor having purchased 105,000,000 shares at a purchase price of $8,400 (or $0.08 per share) at the initial closing on </w:t>
      </w:r>
      <w:r>
        <w:rPr>
          <w:rStyle w:val="Emphasis"/>
          <w:rFonts w:ascii="Times New Roman" w:hAnsi="Times New Roman"/>
          <w:caps w:val="false"/>
          <w:smallCaps w:val="false"/>
          <w:sz w:val="20"/>
        </w:rPr>
        <w:t xml:space="preserve">March 10, 2016 </w:t>
      </w:r>
      <w:r>
        <w:rPr>
          <w:rFonts w:ascii="Times New Roman" w:hAnsi="Times New Roman"/>
          <w:caps w:val="false"/>
          <w:smallCaps w:val="false"/>
          <w:sz w:val="20"/>
        </w:rPr>
        <w:t xml:space="preserve">and the remaining 200,000,000 shares at $0.15 per share and 100,000,000 shares at $0.25 per share for an aggregate purchase price of $55,000 on </w:t>
      </w:r>
      <w:r>
        <w:rPr>
          <w:rStyle w:val="Emphasis"/>
          <w:rFonts w:ascii="Times New Roman" w:hAnsi="Times New Roman"/>
          <w:caps w:val="false"/>
          <w:smallCaps w:val="false"/>
          <w:sz w:val="20"/>
        </w:rPr>
        <w:t xml:space="preserve">October 26, 2016.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10, 2024, </w:t>
      </w:r>
      <w:r>
        <w:rPr>
          <w:rFonts w:ascii="Times New Roman" w:hAnsi="Times New Roman"/>
          <w:caps w:val="false"/>
          <w:smallCaps w:val="false"/>
          <w:sz w:val="20"/>
        </w:rPr>
        <w:t xml:space="preserve">the Investor sold 179,787,888 to various buyers leaving 225,212,112 shares of our common stock owned by the Investor as of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addition to the shares issuable under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the Company issued to the Investor a warrant to acquire 10,066,809 shares of common stock. The warrant expired </w:t>
      </w:r>
      <w:r>
        <w:rPr>
          <w:rStyle w:val="Emphasis"/>
          <w:rFonts w:ascii="Times New Roman" w:hAnsi="Times New Roman"/>
          <w:caps w:val="false"/>
          <w:smallCaps w:val="false"/>
          <w:sz w:val="20"/>
        </w:rPr>
        <w:t>March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2016, </w:t>
      </w: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the Company and DongGuan Eontec Co., Ltd., a Hong Kong corporation (“Eontec”), entered into a Parallel License Agreement (the “License Agreement”) pursuant to which the Company and Eontec agreed to cross-license their respective technologies. The Company’s Chairman, Professor Li, is also the Chairman of Eontec.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the Company and Eontec. In particular, the Company granted to Eontec a paid-up, royalty-free, perpetual license to the Company’s patents and related technical information to make, have made, use, offer to sell, sell, export, and import products in certain geographic areas outside of North America and Europe. In turn, Eontec granted to the Company a paid-up, royalty-free, perpetual license to Eontec’s patents and related technical information to make, have made, use, offer to sell, sell, export, and import products in certain geographic areas outside of specified countries in Asia. The license granted by the Company to Eontec is exclusive (including to the exclusion of the Company) in the countries of Brunei, Cambodia, China (P.R.C and R.O.C.), East Timor, Indonesia, Japan, Laos, Malaysia, Myanmar, Philippines, Singapore, South Korea, Thailand, and Vietnam. The license granted by Eontec to the Company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5, 2010, </w:t>
      </w:r>
      <w:r>
        <w:rPr>
          <w:rFonts w:ascii="Times New Roman" w:hAnsi="Times New Roman"/>
          <w:caps w:val="false"/>
          <w:smallCaps w:val="false"/>
          <w:sz w:val="20"/>
        </w:rPr>
        <w:t xml:space="preserve">the Company entered into a license transaction with Apple Inc. (“Apple”) pursuant to which (i) the Company contributed substantially all of its intellectual property assets to a newly organized special-purpose, wholly-owned subsidiary, called Crucible Intellectual Property, LLC (“CIP”), (ii) CIP granted to Apple a perpetual, worldwide, exclusive license to commercialize such intellectual property in the field of consumer electronic products, as defined in the license agreement, in exchange for a </w:t>
      </w:r>
      <w:r>
        <w:rPr>
          <w:rStyle w:val="Emphasis"/>
          <w:rFonts w:ascii="Times New Roman" w:hAnsi="Times New Roman"/>
          <w:caps w:val="false"/>
          <w:smallCaps w:val="false"/>
          <w:sz w:val="20"/>
        </w:rPr>
        <w:t>one</w:t>
      </w:r>
      <w:r>
        <w:rPr>
          <w:rFonts w:ascii="Times New Roman" w:hAnsi="Times New Roman"/>
          <w:caps w:val="false"/>
          <w:smallCaps w:val="false"/>
          <w:sz w:val="20"/>
        </w:rPr>
        <w:t>-time, upfront license fee, and (iii) CIP granted back to the Company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agreements relating to the license transaction with Apple, the Company was obligated to contribute, to CIP, all intellectual property developed through </w:t>
      </w:r>
      <w:r>
        <w:rPr>
          <w:rStyle w:val="Emphasis"/>
          <w:rFonts w:ascii="Times New Roman" w:hAnsi="Times New Roman"/>
          <w:caps w:val="false"/>
          <w:smallCaps w:val="false"/>
          <w:sz w:val="20"/>
        </w:rPr>
        <w:t xml:space="preserve">February 2016. </w:t>
      </w:r>
      <w:r>
        <w:rPr>
          <w:rFonts w:ascii="Times New Roman" w:hAnsi="Times New Roman"/>
          <w:caps w:val="false"/>
          <w:smallCaps w:val="false"/>
          <w:sz w:val="20"/>
        </w:rPr>
        <w:t>The Company is also obligated to maintain certain limited liability company formalities with respect to CIP at all times after the closing of the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Liquidmetal Golf Sublicense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Liquidmetal Golf Inc. (“Liquidmetal Golf” or “LMG”) is a majority-owned subsidiary which has the exclusive right and license to utilize our Liquidmetal alloy technology for purposes of golf equipment applications. This right and license is set forth in an intercompany license agreement dated </w:t>
      </w:r>
      <w:r>
        <w:rPr>
          <w:rStyle w:val="Emphasis"/>
          <w:rFonts w:ascii="Times New Roman" w:hAnsi="Times New Roman"/>
          <w:caps w:val="false"/>
          <w:smallCaps w:val="false"/>
          <w:sz w:val="20"/>
        </w:rPr>
        <w:t xml:space="preserve">January 1, 2002 </w:t>
      </w:r>
      <w:r>
        <w:rPr>
          <w:rFonts w:ascii="Times New Roman" w:hAnsi="Times New Roman"/>
          <w:caps w:val="false"/>
          <w:smallCaps w:val="false"/>
          <w:sz w:val="20"/>
        </w:rPr>
        <w:t>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The Company owns 79% of the outstanding common stock in Liquidmetal Golf.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13, 2022, </w:t>
      </w:r>
      <w:r>
        <w:rPr>
          <w:rFonts w:ascii="Times New Roman" w:hAnsi="Times New Roman"/>
          <w:caps w:val="false"/>
          <w:smallCaps w:val="false"/>
          <w:sz w:val="20"/>
        </w:rPr>
        <w:t>Liquidmetal Golf entered into a sublicense agreement (“LMG Sublicense Agreement”) with Amorphous Technologies Japan, Inc. (“ATJ”), a newly formed Japanese entity that was established by Twins Corporation, a sporting goods company operating in Japan. Under the agreement, LMG granted to ATJ a nonexclusive worldwide sublicense to the Company’s amorphous alloy technology and related trademarks to manufacture and sell golf clubs and golf related products. The LMG Sublicense Agreement had an initial term of three years and has been extended for another three year term that provides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Swatch Group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2009, </w:t>
      </w:r>
      <w:r>
        <w:rPr>
          <w:rFonts w:ascii="Times New Roman" w:hAnsi="Times New Roman"/>
          <w:caps w:val="false"/>
          <w:smallCaps w:val="false"/>
          <w:sz w:val="20"/>
        </w:rPr>
        <w:t xml:space="preserve">the Company entered into a license agreement with Swatch Group, Ltd. (“Swatch”) under which Swatch was granted a non-exclusive license to the Company’s technology to produce and market watches and certain other luxury products. In </w:t>
      </w:r>
      <w:r>
        <w:rPr>
          <w:rStyle w:val="Emphasis"/>
          <w:rFonts w:ascii="Times New Roman" w:hAnsi="Times New Roman"/>
          <w:caps w:val="false"/>
          <w:smallCaps w:val="false"/>
          <w:sz w:val="20"/>
        </w:rPr>
        <w:t xml:space="preserve">March 2011, </w:t>
      </w:r>
      <w:r>
        <w:rPr>
          <w:rFonts w:ascii="Times New Roman" w:hAnsi="Times New Roman"/>
          <w:caps w:val="false"/>
          <w:smallCaps w:val="false"/>
          <w:sz w:val="20"/>
        </w:rPr>
        <w:t xml:space="preserve">this license agreement was amended to grant Swatch exclusive rights as to watches as against all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(including the Company), but non-exclusive as to Apple. The Company will receive royalty payments over the life of the contract on all Liquidmetal products produced and sold by Swatch. The license agreement with Swatch will expire on the expiration date of the last-to-expire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amortized cost fair value, and unrealized gains (losses) of investments in debt securities (short-term and long-term):</w:t>
      </w:r>
    </w:p>
    <w:p>
      <w:pPr>
        <w:pStyle w:val="TextBody"/>
        <w:bidi w:val="0"/>
        <w:spacing w:before="0" w:after="0"/>
        <w:ind w:left="0" w:right="0" w:hanging="0"/>
        <w:jc w:val="left"/>
        <w:rPr>
          <w:caps w:val="false"/>
          <w:smallCaps w:val="false"/>
        </w:rPr>
      </w:pPr>
      <w:r>
        <w:rPr>
          <w:caps w:val="false"/>
          <w:smallCaps w:val="false"/>
        </w:rPr>
        <w:t> </w:t>
      </w:r>
    </w:p>
    <w:tbl>
      <w:tblPr>
        <w:tblW w:w="9371" w:type="dxa"/>
        <w:jc w:val="left"/>
        <w:tblInd w:w="0" w:type="dxa"/>
        <w:tblLayout w:type="fixed"/>
        <w:tblCellMar>
          <w:top w:w="0" w:type="dxa"/>
          <w:left w:w="0" w:type="dxa"/>
          <w:bottom w:w="0" w:type="dxa"/>
          <w:right w:w="0" w:type="dxa"/>
        </w:tblCellMar>
      </w:tblPr>
      <w:tblGrid>
        <w:gridCol w:w="3155"/>
        <w:gridCol w:w="1940"/>
        <w:gridCol w:w="60"/>
        <w:gridCol w:w="66"/>
        <w:gridCol w:w="658"/>
        <w:gridCol w:w="60"/>
        <w:gridCol w:w="60"/>
        <w:gridCol w:w="107"/>
        <w:gridCol w:w="1067"/>
        <w:gridCol w:w="60"/>
        <w:gridCol w:w="60"/>
        <w:gridCol w:w="66"/>
        <w:gridCol w:w="658"/>
        <w:gridCol w:w="60"/>
        <w:gridCol w:w="60"/>
        <w:gridCol w:w="107"/>
        <w:gridCol w:w="1067"/>
        <w:gridCol w:w="60"/>
      </w:tblGrid>
      <w:tr>
        <w:trPr/>
        <w:tc>
          <w:tcPr>
            <w:tcW w:w="315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ind w:left="0" w:right="0" w:hanging="0"/>
              <w:jc w:val="left"/>
              <w:rPr/>
            </w:pPr>
            <w:r>
              <w:rPr/>
              <w:t>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Longest Maturity Date</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and agency securities</w:t>
            </w:r>
          </w:p>
        </w:tc>
        <w:tc>
          <w:tcPr>
            <w:tcW w:w="19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9,402</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19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2031</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3,121</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Income from these investments totaled $35 and $45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respectively, and $5 and $68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respectively. Such amounts are included as a portion of interest and investment income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Based on the Company’s review of its debt securities that are individually in an unrealized loss position at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it was determined that the losses were primarily the result current economic factors, impacting all global debt and equity markets, that are the result of global macro events. The impact of the Company’s investment portfolio is considered to be temporary, rather than a deterioration of overall credit quality.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all investments are current on their scheduled interest and dividend payments.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intend to sell and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that the Company will be required to sell these securities prior to recovering their amortized cost. Accordingly, the Company concluded that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allowance for credit losses was required on its available-for-sale debt securities as of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in debt securities activities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943" w:type="dxa"/>
        <w:jc w:val="left"/>
        <w:tblInd w:w="0" w:type="dxa"/>
        <w:tblLayout w:type="fixed"/>
        <w:tblCellMar>
          <w:top w:w="0" w:type="dxa"/>
          <w:left w:w="0" w:type="dxa"/>
          <w:bottom w:w="0" w:type="dxa"/>
          <w:right w:w="0" w:type="dxa"/>
        </w:tblCellMar>
      </w:tblPr>
      <w:tblGrid>
        <w:gridCol w:w="4505"/>
        <w:gridCol w:w="60"/>
        <w:gridCol w:w="183"/>
        <w:gridCol w:w="864"/>
        <w:gridCol w:w="117"/>
        <w:gridCol w:w="87"/>
        <w:gridCol w:w="183"/>
        <w:gridCol w:w="864"/>
        <w:gridCol w:w="8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12,523</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16,330</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at cost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gain from sale of investment in debt securities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management fees and other fees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Withdrawals from debt securities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ending balance</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10,581</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16,212</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 current portion</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(6,511</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4,070</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TRADE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Trade accounts receivable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203" w:type="dxa"/>
        <w:jc w:val="left"/>
        <w:tblInd w:w="0" w:type="dxa"/>
        <w:tblLayout w:type="fixed"/>
        <w:tblCellMar>
          <w:top w:w="0" w:type="dxa"/>
          <w:left w:w="0" w:type="dxa"/>
          <w:bottom w:w="0" w:type="dxa"/>
          <w:right w:w="0" w:type="dxa"/>
        </w:tblCellMar>
      </w:tblPr>
      <w:tblGrid>
        <w:gridCol w:w="2975"/>
        <w:gridCol w:w="60"/>
        <w:gridCol w:w="269"/>
        <w:gridCol w:w="500"/>
        <w:gridCol w:w="60"/>
        <w:gridCol w:w="60"/>
        <w:gridCol w:w="429"/>
        <w:gridCol w:w="790"/>
        <w:gridCol w:w="6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 allowance</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firstLine="25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Prepaid expenses and other current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3755"/>
        <w:gridCol w:w="60"/>
        <w:gridCol w:w="209"/>
        <w:gridCol w:w="560"/>
        <w:gridCol w:w="60"/>
        <w:gridCol w:w="60"/>
        <w:gridCol w:w="249"/>
        <w:gridCol w:w="970"/>
        <w:gridCol w:w="6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service invoices</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 premiums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rent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lease costs and receivables- short term</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receivables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203" w:type="dxa"/>
        <w:jc w:val="left"/>
        <w:tblInd w:w="0" w:type="dxa"/>
        <w:tblLayout w:type="fixed"/>
        <w:tblCellMar>
          <w:top w:w="0" w:type="dxa"/>
          <w:left w:w="0" w:type="dxa"/>
          <w:bottom w:w="0" w:type="dxa"/>
          <w:right w:w="0" w:type="dxa"/>
        </w:tblCellMar>
      </w:tblPr>
      <w:tblGrid>
        <w:gridCol w:w="2975"/>
        <w:gridCol w:w="60"/>
        <w:gridCol w:w="269"/>
        <w:gridCol w:w="500"/>
        <w:gridCol w:w="60"/>
        <w:gridCol w:w="60"/>
        <w:gridCol w:w="429"/>
        <w:gridCol w:w="790"/>
        <w:gridCol w:w="6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firstLine="25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293" w:type="dxa"/>
        <w:jc w:val="left"/>
        <w:tblInd w:w="0" w:type="dxa"/>
        <w:tblLayout w:type="fixed"/>
        <w:tblCellMar>
          <w:top w:w="0" w:type="dxa"/>
          <w:left w:w="0" w:type="dxa"/>
          <w:bottom w:w="0" w:type="dxa"/>
          <w:right w:w="0" w:type="dxa"/>
        </w:tblCellMar>
      </w:tblPr>
      <w:tblGrid>
        <w:gridCol w:w="4025"/>
        <w:gridCol w:w="60"/>
        <w:gridCol w:w="134"/>
        <w:gridCol w:w="635"/>
        <w:gridCol w:w="80"/>
        <w:gridCol w:w="60"/>
        <w:gridCol w:w="211"/>
        <w:gridCol w:w="1008"/>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building, 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9,613</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 furnishings, and improvements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11,240</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0" w:right="0" w:firstLine="25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Depreciation expense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respectively, were $119 and $224. Depreciation expense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respectively, were $77 and $157. Such amounts were included in selling, marketing, general, and administrative expenses within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disposed of equipment with a cost and accumulated depreciation of $0 and $90, respectively. As the net book value of the assets was zero, the company recognized a gain on disposal of $0 and $5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PATENTS AND TRADEMARKS,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Patents and trademarks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243" w:type="dxa"/>
        <w:jc w:val="left"/>
        <w:tblInd w:w="0" w:type="dxa"/>
        <w:tblLayout w:type="fixed"/>
        <w:tblCellMar>
          <w:top w:w="0" w:type="dxa"/>
          <w:left w:w="0" w:type="dxa"/>
          <w:bottom w:w="0" w:type="dxa"/>
          <w:right w:w="0" w:type="dxa"/>
        </w:tblCellMar>
      </w:tblPr>
      <w:tblGrid>
        <w:gridCol w:w="2975"/>
        <w:gridCol w:w="60"/>
        <w:gridCol w:w="143"/>
        <w:gridCol w:w="626"/>
        <w:gridCol w:w="80"/>
        <w:gridCol w:w="60"/>
        <w:gridCol w:w="227"/>
        <w:gridCol w:w="992"/>
        <w:gridCol w:w="8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 and licensed patent rights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Internally developed patents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FFFFFF" w:val="clear"/>
            <w:vAlign w:val="center"/>
          </w:tcPr>
          <w:p>
            <w:pPr>
              <w:pStyle w:val="TableContents"/>
              <w:bidi w:val="0"/>
              <w:spacing w:before="0" w:after="0"/>
              <w:ind w:left="0" w:right="0" w:firstLine="25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Purchased patent rights represent the exclusive right to commercialize the bulk amorphous alloy and other amorphous alloy technology acquired from California Institute of Technology (“Caltech”), through a license agreement with Caltech and other institutions. All fees and other amounts payable by the Company for these rights and licenses have been paid or accrued in full, and </w:t>
      </w:r>
      <w:r>
        <w:rPr>
          <w:rStyle w:val="Emphasis"/>
          <w:rFonts w:ascii="Times New Roman" w:hAnsi="Times New Roman"/>
          <w:caps w:val="false"/>
          <w:smallCaps w:val="false"/>
          <w:sz w:val="20"/>
        </w:rPr>
        <w:t>no</w:t>
      </w:r>
      <w:r>
        <w:rPr>
          <w:rFonts w:ascii="Times New Roman" w:hAnsi="Times New Roman"/>
          <w:caps w:val="false"/>
          <w:smallCaps w:val="false"/>
          <w:sz w:val="20"/>
        </w:rPr>
        <w:t> further royalties, license fees, or other amounts will be payable in the future under the license agreement. In addition to the purchased and licensed patents, the Company has internally developed patents. Internally developed patents include legal and registration costs incurred to obtain the respective patents. The Company currently holds various patents and numerous pending patent applications in the United States, as well as numerous foreign counterparts to these patents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amortizes capitalized patents and trademarks over an average of 10-to-17-year periods. Amortization expense for patents and trademarks was $3 and $6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respectively. Amortization expense for patents and trademarks was $3 and $7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4303" w:type="dxa"/>
        <w:jc w:val="left"/>
        <w:tblInd w:w="0" w:type="dxa"/>
        <w:tblLayout w:type="fixed"/>
        <w:tblCellMar>
          <w:top w:w="0" w:type="dxa"/>
          <w:left w:w="0" w:type="dxa"/>
          <w:bottom w:w="0" w:type="dxa"/>
          <w:right w:w="0" w:type="dxa"/>
        </w:tblCellMar>
      </w:tblPr>
      <w:tblGrid>
        <w:gridCol w:w="2075"/>
        <w:gridCol w:w="60"/>
        <w:gridCol w:w="209"/>
        <w:gridCol w:w="560"/>
        <w:gridCol w:w="60"/>
        <w:gridCol w:w="60"/>
        <w:gridCol w:w="330"/>
        <w:gridCol w:w="889"/>
        <w:gridCol w:w="6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deposits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Utility deposits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firstLine="16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liabilities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443" w:type="dxa"/>
        <w:jc w:val="left"/>
        <w:tblInd w:w="0" w:type="dxa"/>
        <w:tblLayout w:type="fixed"/>
        <w:tblCellMar>
          <w:top w:w="0" w:type="dxa"/>
          <w:left w:w="0" w:type="dxa"/>
          <w:bottom w:w="0" w:type="dxa"/>
          <w:right w:w="0" w:type="dxa"/>
        </w:tblCellMar>
      </w:tblPr>
      <w:tblGrid>
        <w:gridCol w:w="3215"/>
        <w:gridCol w:w="60"/>
        <w:gridCol w:w="209"/>
        <w:gridCol w:w="560"/>
        <w:gridCol w:w="60"/>
        <w:gridCol w:w="60"/>
        <w:gridCol w:w="330"/>
        <w:gridCol w:w="889"/>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vacation, and bonuses</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audit fees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Other current liabilities was $902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and consisted of $859 of payables to vendors, individuals,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parties that have been outstanding for more than 5 years. Also included in the balance is $43 in tenant deposits under the Facility 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STOCK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28, 2012, </w:t>
      </w:r>
      <w:r>
        <w:rPr>
          <w:rFonts w:ascii="Times New Roman" w:hAnsi="Times New Roman"/>
          <w:caps w:val="false"/>
          <w:smallCaps w:val="false"/>
          <w:sz w:val="20"/>
        </w:rPr>
        <w:t xml:space="preserve">the Company adopted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with the approval of the shareholders, which provided for the grant of stock options to officers, employees, consultants and directors of the Company and its subsidiaries. Under this plan, the Company had outstanding grants of options to purchase 2,380,000 and 2,432,500 shares of the Company’s common stock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expired in </w:t>
      </w:r>
      <w:r>
        <w:rPr>
          <w:rStyle w:val="Emphasis"/>
          <w:rFonts w:ascii="Times New Roman" w:hAnsi="Times New Roman"/>
          <w:caps w:val="false"/>
          <w:smallCaps w:val="false"/>
          <w:sz w:val="20"/>
        </w:rPr>
        <w:t>June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2015, </w:t>
      </w:r>
      <w:r>
        <w:rPr>
          <w:rFonts w:ascii="Times New Roman" w:hAnsi="Times New Roman"/>
          <w:caps w:val="false"/>
          <w:smallCaps w:val="false"/>
          <w:sz w:val="20"/>
        </w:rPr>
        <w:t xml:space="preserve">the Company adopted its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which provided for the grant of stock options to officers, employees, consultants and directors of the Company and its subsidiaries. A total of 40,000,000 shares of the Company’s common stock were available for issuance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All options granted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had exercise prices that were equal to the fair market value on the dates of grant. Under this plan, the Company had outstanding grants of options to purchase 21,761,667 and 22,861,667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expired in </w:t>
      </w:r>
      <w:r>
        <w:rPr>
          <w:rStyle w:val="Emphasis"/>
          <w:rFonts w:ascii="Times New Roman" w:hAnsi="Times New Roman"/>
          <w:caps w:val="false"/>
          <w:smallCaps w:val="false"/>
          <w:sz w:val="20"/>
        </w:rPr>
        <w:t>January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FASB ASC </w:t>
      </w:r>
      <w:r>
        <w:rPr>
          <w:rStyle w:val="Emphasis"/>
          <w:rFonts w:ascii="Times New Roman" w:hAnsi="Times New Roman"/>
          <w:caps w:val="false"/>
          <w:smallCaps w:val="false"/>
          <w:sz w:val="20"/>
        </w:rPr>
        <w:t>718,</w:t>
      </w:r>
      <w:r>
        <w:rPr>
          <w:rFonts w:ascii="Times New Roman" w:hAnsi="Times New Roman"/>
          <w:caps w:val="false"/>
          <w:smallCaps w:val="false"/>
          <w:sz w:val="20"/>
        </w:rPr>
        <w:t> Compensation – Stock Compensation, requires all share-based payments to employees, including grants of employee stock options, to be recognized in the financial statements based on their fair values. Under ASC </w:t>
      </w:r>
      <w:r>
        <w:rPr>
          <w:rStyle w:val="Emphasis"/>
          <w:rFonts w:ascii="Times New Roman" w:hAnsi="Times New Roman"/>
          <w:caps w:val="false"/>
          <w:smallCaps w:val="false"/>
          <w:sz w:val="20"/>
        </w:rPr>
        <w:t>718,</w:t>
      </w:r>
      <w:r>
        <w:rPr>
          <w:rFonts w:ascii="Times New Roman" w:hAnsi="Times New Roman"/>
          <w:caps w:val="false"/>
          <w:smallCaps w:val="false"/>
          <w:sz w:val="20"/>
        </w:rPr>
        <w:t> the Company is required to measure the cost of employee services received in exchange for stock options and similar awards based on the grant-date fair value of the award and recognize this cost in the income statement over the period during which an employee is required to provide service in exchange for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Stock based compensation expense attributable to these plans was $33 and $71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respectively, and $33 and $87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Expected volatilities are based on historical volatility expected over the expected life of the options. The Company uses historical data to estimate option exercise and employee termination within the valuation model. The expected term of options granted represents the period of time that options granted are expected to be outstanding. Expected forfeiture rates are determined based on historical forfeitures over a </w:t>
      </w:r>
      <w:r>
        <w:rPr>
          <w:rStyle w:val="Emphasis"/>
          <w:rFonts w:ascii="Times New Roman" w:hAnsi="Times New Roman"/>
          <w:caps w:val="false"/>
          <w:smallCaps w:val="false"/>
          <w:sz w:val="20"/>
        </w:rPr>
        <w:t>five</w:t>
      </w:r>
      <w:r>
        <w:rPr>
          <w:rFonts w:ascii="Times New Roman" w:hAnsi="Times New Roman"/>
          <w:caps w:val="false"/>
          <w:smallCaps w:val="false"/>
          <w:sz w:val="20"/>
        </w:rPr>
        <w:t>-year period. The risk-free rate used for the period within the expected life of the options is based on U.S. Treasury rates in effect at the time of grant.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FACILITY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collected under the Facility Lease are comprised of base rents and reimbursements for direct facility expenses (property taxes and insurance), common area maintenance, and utilities. Amounts recorded to lease income are comprised of base rents and direct facility expenses, recorded on a straight-line basis over the lease term. Reimbursements for common area maintenance and utility expense are recorded as reductions to like expenses within sales,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future minimum rental payments to the Company under the Facility Lease are as follows:</w:t>
      </w:r>
    </w:p>
    <w:p>
      <w:pPr>
        <w:pStyle w:val="TextBody"/>
        <w:bidi w:val="0"/>
        <w:spacing w:before="0" w:after="0"/>
        <w:ind w:left="0" w:right="0" w:hanging="0"/>
        <w:jc w:val="left"/>
        <w:rPr>
          <w:caps w:val="false"/>
          <w:smallCaps w:val="false"/>
        </w:rPr>
      </w:pPr>
      <w:r>
        <w:rPr>
          <w:caps w:val="false"/>
          <w:smallCaps w:val="false"/>
        </w:rPr>
        <w:t> </w:t>
      </w:r>
    </w:p>
    <w:tbl>
      <w:tblPr>
        <w:tblW w:w="3414" w:type="dxa"/>
        <w:jc w:val="left"/>
        <w:tblInd w:w="0" w:type="dxa"/>
        <w:tblLayout w:type="fixed"/>
        <w:tblCellMar>
          <w:top w:w="0" w:type="dxa"/>
          <w:left w:w="0" w:type="dxa"/>
          <w:bottom w:w="28" w:type="dxa"/>
          <w:right w:w="0" w:type="dxa"/>
        </w:tblCellMar>
      </w:tblPr>
      <w:tblGrid>
        <w:gridCol w:w="2360"/>
        <w:gridCol w:w="60"/>
        <w:gridCol w:w="191"/>
        <w:gridCol w:w="743"/>
        <w:gridCol w:w="60"/>
      </w:tblGrid>
      <w:tr>
        <w:trPr/>
        <w:tc>
          <w:tcPr>
            <w:tcW w:w="23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 Rents</w:t>
            </w:r>
          </w:p>
        </w:tc>
        <w:tc>
          <w:tcPr>
            <w:tcW w:w="60"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7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six months)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ind w:left="0" w:right="0" w:hanging="0"/>
              <w:jc w:val="left"/>
              <w:rPr/>
            </w:pPr>
            <w:r>
              <w:rPr/>
              <w:t> </w:t>
            </w:r>
          </w:p>
        </w:tc>
        <w:tc>
          <w:tcPr>
            <w:tcW w:w="7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ind w:left="0" w:right="0" w:hanging="0"/>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ind w:left="0" w:right="0" w:hanging="0"/>
              <w:jc w:val="left"/>
              <w:rPr/>
            </w:pPr>
            <w:r>
              <w:rPr/>
              <w:t> </w:t>
            </w:r>
          </w:p>
        </w:tc>
        <w:tc>
          <w:tcPr>
            <w:tcW w:w="7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caps w:val="false"/>
          <w:smallCaps w:val="false"/>
          <w:sz w:val="20"/>
        </w:rPr>
        <w:t> </w:t>
      </w:r>
      <w:r>
        <w:rPr>
          <w:rFonts w:ascii="Times New Roman" w:hAnsi="Times New Roman"/>
          <w:b/>
          <w:caps w:val="false"/>
          <w:smallCaps w:val="false"/>
          <w:sz w:val="20"/>
        </w:rPr>
        <w:t>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Company entered into a non-cancelable facility lease commencing and expiring on </w:t>
      </w:r>
      <w:r>
        <w:rPr>
          <w:rStyle w:val="Emphasis"/>
          <w:rFonts w:ascii="Times New Roman" w:hAnsi="Times New Roman"/>
          <w:caps w:val="false"/>
          <w:smallCaps w:val="false"/>
          <w:sz w:val="20"/>
        </w:rPr>
        <w:t xml:space="preserve">July 3, 2028, </w:t>
      </w:r>
      <w:r>
        <w:rPr>
          <w:rFonts w:ascii="Times New Roman" w:hAnsi="Times New Roman"/>
          <w:caps w:val="false"/>
          <w:smallCaps w:val="false"/>
          <w:sz w:val="20"/>
        </w:rPr>
        <w:t xml:space="preserve">for approximately 6,600 square meters of industrial space in Hangzhou, China. The lease term is 36 months and includes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rent-free period from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October 3, 2025, </w:t>
      </w:r>
      <w:r>
        <w:rPr>
          <w:rFonts w:ascii="Times New Roman" w:hAnsi="Times New Roman"/>
          <w:caps w:val="false"/>
          <w:smallCaps w:val="false"/>
          <w:sz w:val="20"/>
        </w:rPr>
        <w:t xml:space="preserve">during which only property management fees and utilities are payable. Base rent is $27 per month. The lease is denominated in Renminbi (“RMB” or “yuan”), and the lease liability and right-of-use asset are initially measured in RMB and translated into U.S. dollars for consolidated financial reporting purposes in accordance with </w:t>
      </w:r>
      <w:r>
        <w:rPr>
          <w:rStyle w:val="Emphasis"/>
          <w:rFonts w:ascii="Times New Roman" w:hAnsi="Times New Roman"/>
          <w:caps w:val="false"/>
          <w:smallCaps w:val="false"/>
          <w:sz w:val="20"/>
        </w:rPr>
        <w:t>ASC830.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sz w:val="20"/>
        </w:rPr>
        <w:t xml:space="preserve">In accordance with ASC </w:t>
      </w:r>
      <w:r>
        <w:rPr>
          <w:rStyle w:val="Emphasis"/>
          <w:rFonts w:ascii="Times New Roman" w:hAnsi="Times New Roman"/>
          <w:sz w:val="20"/>
        </w:rPr>
        <w:t>842,</w:t>
      </w:r>
      <w:r>
        <w:rPr>
          <w:rFonts w:ascii="Times New Roman" w:hAnsi="Times New Roman"/>
          <w:sz w:val="20"/>
        </w:rPr>
        <w:t xml:space="preserve"> the components of lease expense were as follows:</w:t>
      </w:r>
    </w:p>
    <w:p>
      <w:pPr>
        <w:pStyle w:val="TextBody"/>
        <w:bidi w:val="0"/>
        <w:spacing w:before="0" w:after="0"/>
        <w:ind w:left="0" w:right="0" w:hanging="0"/>
        <w:jc w:val="left"/>
        <w:rPr/>
      </w:pPr>
      <w:r>
        <w:rPr/>
        <w:t> </w:t>
      </w:r>
    </w:p>
    <w:tbl>
      <w:tblPr>
        <w:tblW w:w="4078" w:type="dxa"/>
        <w:jc w:val="left"/>
        <w:tblInd w:w="0" w:type="dxa"/>
        <w:tblLayout w:type="fixed"/>
        <w:tblCellMar>
          <w:top w:w="0" w:type="dxa"/>
          <w:left w:w="0" w:type="dxa"/>
          <w:bottom w:w="28" w:type="dxa"/>
          <w:right w:w="0" w:type="dxa"/>
        </w:tblCellMar>
      </w:tblPr>
      <w:tblGrid>
        <w:gridCol w:w="2870"/>
        <w:gridCol w:w="60"/>
        <w:gridCol w:w="131"/>
        <w:gridCol w:w="353"/>
        <w:gridCol w:w="60"/>
        <w:gridCol w:w="60"/>
        <w:gridCol w:w="295"/>
        <w:gridCol w:w="189"/>
        <w:gridCol w:w="60"/>
      </w:tblGrid>
      <w:tr>
        <w:trPr/>
        <w:tc>
          <w:tcPr>
            <w:tcW w:w="28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tcMar>
              <w:bottom w:w="0" w:type="dxa"/>
            </w:tcMar>
            <w:vAlign w:val="center"/>
          </w:tcPr>
          <w:p>
            <w:pPr>
              <w:pStyle w:val="TableContents"/>
              <w:bidi w:val="0"/>
              <w:spacing w:before="0" w:after="283"/>
              <w:jc w:val="left"/>
              <w:rPr/>
            </w:pPr>
            <w:r>
              <w:rPr/>
              <w:t> </w:t>
            </w:r>
          </w:p>
        </w:tc>
      </w:tr>
      <w:tr>
        <w:trPr/>
        <w:tc>
          <w:tcPr>
            <w:tcW w:w="28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sz w:val="20"/>
        </w:rPr>
        <w:t xml:space="preserve">In accordance with ASC </w:t>
      </w:r>
      <w:r>
        <w:rPr>
          <w:rStyle w:val="Emphasis"/>
          <w:rFonts w:ascii="Times New Roman" w:hAnsi="Times New Roman"/>
          <w:sz w:val="20"/>
        </w:rPr>
        <w:t>842,</w:t>
      </w:r>
      <w:r>
        <w:rPr>
          <w:rFonts w:ascii="Times New Roman" w:hAnsi="Times New Roman"/>
          <w:sz w:val="20"/>
        </w:rPr>
        <w:t xml:space="preserve"> other information related to leases was as follows:</w:t>
      </w:r>
    </w:p>
    <w:p>
      <w:pPr>
        <w:pStyle w:val="TextBody"/>
        <w:bidi w:val="0"/>
        <w:spacing w:before="0" w:after="0"/>
        <w:ind w:left="0" w:right="0" w:hanging="0"/>
        <w:jc w:val="left"/>
        <w:rPr/>
      </w:pPr>
      <w:r>
        <w:rPr/>
        <w:t> </w:t>
      </w:r>
    </w:p>
    <w:tbl>
      <w:tblPr>
        <w:tblW w:w="7093" w:type="dxa"/>
        <w:jc w:val="left"/>
        <w:tblInd w:w="0" w:type="dxa"/>
        <w:tblLayout w:type="fixed"/>
        <w:tblCellMar>
          <w:top w:w="0" w:type="dxa"/>
          <w:left w:w="0" w:type="dxa"/>
          <w:bottom w:w="28" w:type="dxa"/>
          <w:right w:w="0" w:type="dxa"/>
        </w:tblCellMar>
      </w:tblPr>
      <w:tblGrid>
        <w:gridCol w:w="5885"/>
        <w:gridCol w:w="60"/>
        <w:gridCol w:w="131"/>
        <w:gridCol w:w="353"/>
        <w:gridCol w:w="60"/>
        <w:gridCol w:w="60"/>
        <w:gridCol w:w="295"/>
        <w:gridCol w:w="189"/>
        <w:gridCol w:w="60"/>
      </w:tblGrid>
      <w:tr>
        <w:trPr/>
        <w:tc>
          <w:tcPr>
            <w:tcW w:w="588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tcMar>
              <w:bottom w:w="0" w:type="dxa"/>
            </w:tcMar>
            <w:vAlign w:val="center"/>
          </w:tcPr>
          <w:p>
            <w:pPr>
              <w:pStyle w:val="TableContents"/>
              <w:bidi w:val="0"/>
              <w:spacing w:before="0" w:after="283"/>
              <w:jc w:val="left"/>
              <w:rPr/>
            </w:pPr>
            <w:r>
              <w:rPr/>
              <w:t> </w:t>
            </w:r>
          </w:p>
        </w:tc>
      </w:tr>
      <w:tr>
        <w:trPr/>
        <w:tc>
          <w:tcPr>
            <w:tcW w:w="58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885" w:type="dxa"/>
            <w:tcBorders>
              <w:bottom w:val="single" w:sz="2" w:space="0" w:color="000000"/>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the future minimum lease payments are as follows:</w:t>
      </w:r>
    </w:p>
    <w:p>
      <w:pPr>
        <w:pStyle w:val="TextBody"/>
        <w:bidi w:val="0"/>
        <w:spacing w:before="0" w:after="0"/>
        <w:ind w:left="0" w:right="0" w:hanging="0"/>
        <w:jc w:val="left"/>
        <w:rPr/>
      </w:pPr>
      <w:r>
        <w:rPr/>
        <w:t> </w:t>
      </w:r>
    </w:p>
    <w:tbl>
      <w:tblPr>
        <w:tblW w:w="5795" w:type="dxa"/>
        <w:jc w:val="left"/>
        <w:tblInd w:w="0" w:type="dxa"/>
        <w:tblLayout w:type="fixed"/>
        <w:tblCellMar>
          <w:top w:w="0" w:type="dxa"/>
          <w:left w:w="0" w:type="dxa"/>
          <w:bottom w:w="0" w:type="dxa"/>
          <w:right w:w="0" w:type="dxa"/>
        </w:tblCellMar>
      </w:tblPr>
      <w:tblGrid>
        <w:gridCol w:w="5090"/>
        <w:gridCol w:w="60"/>
        <w:gridCol w:w="125"/>
        <w:gridCol w:w="335"/>
        <w:gridCol w:w="185"/>
      </w:tblGrid>
      <w:tr>
        <w:trPr/>
        <w:tc>
          <w:tcPr>
            <w:tcW w:w="50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six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185"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185"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185"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5090" w:type="dxa"/>
            <w:tcBorders>
              <w:bottom w:val="single" w:sz="2" w:space="0" w:color="000000"/>
            </w:tcBorders>
            <w:shd w:fill="FFFFFF" w:val="clear"/>
            <w:tcMar>
              <w:bottom w:w="28"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r>
      <w:tr>
        <w:trPr/>
        <w:tc>
          <w:tcPr>
            <w:tcW w:w="50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undiscounted cash flows</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185"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terms (years)</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185" w:type="dxa"/>
            <w:tcBorders/>
            <w:shd w:fill="FFFFFF" w:val="clear"/>
            <w:vAlign w:val="center"/>
          </w:tcPr>
          <w:p>
            <w:pPr>
              <w:pStyle w:val="TableContents"/>
              <w:bidi w:val="0"/>
              <w:spacing w:before="0" w:after="283"/>
              <w:jc w:val="left"/>
              <w:rPr/>
            </w:pPr>
            <w:r>
              <w:rPr/>
              <w:t> </w:t>
            </w:r>
          </w:p>
        </w:tc>
      </w:tr>
      <w:tr>
        <w:trPr/>
        <w:tc>
          <w:tcPr>
            <w:tcW w:w="5090" w:type="dxa"/>
            <w:tcBorders>
              <w:bottom w:val="single" w:sz="2" w:space="0" w:color="000000"/>
            </w:tcBorders>
            <w:shd w:fill="CCEEFF" w:val="clear"/>
            <w:tcMar>
              <w:bottom w:w="28"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185"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185" w:type="dxa"/>
            <w:tcBorders/>
            <w:shd w:fill="FFFFFF" w:val="clear"/>
            <w:vAlign w:val="center"/>
          </w:tcPr>
          <w:p>
            <w:pPr>
              <w:pStyle w:val="TableContents"/>
              <w:bidi w:val="0"/>
              <w:spacing w:before="0" w:after="283"/>
              <w:jc w:val="left"/>
              <w:rPr/>
            </w:pPr>
            <w:r>
              <w:rPr/>
              <w:t> </w:t>
            </w:r>
          </w:p>
        </w:tc>
      </w:tr>
      <w:tr>
        <w:trPr/>
        <w:tc>
          <w:tcPr>
            <w:tcW w:w="5090" w:type="dxa"/>
            <w:tcBorders>
              <w:bottom w:val="single" w:sz="2" w:space="0" w:color="000000"/>
            </w:tcBorders>
            <w:shd w:fill="CCEEFF" w:val="clear"/>
            <w:tcMar>
              <w:bottom w:w="28"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liabilities—long-term</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185" w:type="dxa"/>
            <w:tcBorders/>
            <w:shd w:fill="CCEEFF" w:val="clear"/>
            <w:vAlign w:val="center"/>
          </w:tcPr>
          <w:p>
            <w:pPr>
              <w:pStyle w:val="TableContents"/>
              <w:bidi w:val="0"/>
              <w:spacing w:before="0" w:after="283"/>
              <w:jc w:val="left"/>
              <w:rPr/>
            </w:pPr>
            <w:r>
              <w:rPr/>
              <w:t> </w:t>
            </w:r>
          </w:p>
        </w:tc>
      </w:tr>
      <w:tr>
        <w:trPr/>
        <w:tc>
          <w:tcPr>
            <w:tcW w:w="50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185"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5090" w:type="dxa"/>
            <w:tcBorders>
              <w:bottom w:val="single" w:sz="2" w:space="0" w:color="000000"/>
            </w:tcBorders>
            <w:shd w:fill="FFFFFF" w:val="clear"/>
            <w:tcMar>
              <w:bottom w:w="28"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Difference between undiscounted and discounted cash flows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16.</w:t>
      </w:r>
      <w:r>
        <w:rPr>
          <w:rFonts w:ascii="Times New Roman" w:hAnsi="Times New Roman"/>
          <w:caps w:val="false"/>
          <w:smallCaps w:val="false"/>
          <w:sz w:val="20"/>
        </w:rPr>
        <w:t> </w:t>
      </w:r>
      <w:r>
        <w:rPr>
          <w:rFonts w:ascii="Times New Roman" w:hAnsi="Times New Roman"/>
          <w:b/>
          <w:caps w:val="false"/>
          <w:smallCaps w:val="false"/>
          <w:sz w:val="20"/>
        </w:rPr>
        <w:t>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share (“EPS”) is computed by dividing earnings (loss) attributable to common shareholders by the weighted average number of common shares outstanding for the periods. Diluted EPS reflects the potential dilution of securities that could share in the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Options to purchase 39,141,667 shares of common stock at prices ranging from $0.05 to $0.38 per share were outstanding at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 Options to purchase 39,794,167 shares of common stock at prices ranging from $0.05 to $0.38 per share were outstanding at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17.</w:t>
      </w:r>
      <w:r>
        <w:rPr>
          <w:rFonts w:ascii="Times New Roman" w:hAnsi="Times New Roman"/>
          <w:caps w:val="false"/>
          <w:smallCaps w:val="false"/>
          <w:sz w:val="20"/>
        </w:rPr>
        <w:t> </w:t>
      </w: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entered into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with Liquidmetal Technology Limited, providing for the purchase of 405,000,000 shares of the Company’s common stock for an aggregate purchase price of $63,400. Liquidmetal Technology Limited is owned by our Chairman, Professor Li. 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and also 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and Eontec entered into a license agreement, pursuant to which the Company and Eontec entered into a cross-license of their respective technologies. Eontec is an affiliate of Yihao which is currently the Company’s primary contract manufacturer.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Professor Li is a greater-than 5% beneficial owner of the Company and serves as the Company’s Chairman. Equipment and services procured from Yihao were $193 and $298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respectively, and were $121 and $238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respectively. As of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the Company has outstanding payables to Yihao of $53 and $47,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18.</w:t>
      </w:r>
      <w:r>
        <w:rPr>
          <w:rFonts w:ascii="Times New Roman" w:hAnsi="Times New Roman"/>
          <w:caps w:val="false"/>
          <w:smallCaps w:val="false"/>
          <w:sz w:val="20"/>
        </w:rPr>
        <w:t> </w:t>
      </w:r>
      <w:r>
        <w:rPr>
          <w:rFonts w:ascii="Times New Roman" w:hAnsi="Times New Roman"/>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follows the guidance in FASB ASC Topic </w:t>
      </w:r>
      <w:r>
        <w:rPr>
          <w:rStyle w:val="Emphasis"/>
          <w:rFonts w:ascii="Times New Roman" w:hAnsi="Times New Roman"/>
          <w:caps w:val="false"/>
          <w:smallCaps w:val="false"/>
          <w:sz w:val="20"/>
        </w:rPr>
        <w:t>855,</w:t>
      </w:r>
      <w:r>
        <w:rPr>
          <w:rFonts w:ascii="Times New Roman" w:hAnsi="Times New Roman"/>
          <w:caps w:val="false"/>
          <w:smallCaps w:val="false"/>
          <w:sz w:val="20"/>
        </w:rPr>
        <w:t> Subsequent Events (“ASC </w:t>
      </w:r>
      <w:r>
        <w:rPr>
          <w:rStyle w:val="Emphasis"/>
          <w:rFonts w:ascii="Times New Roman" w:hAnsi="Times New Roman"/>
          <w:caps w:val="false"/>
          <w:smallCaps w:val="false"/>
          <w:sz w:val="20"/>
        </w:rPr>
        <w:t>855”</w:t>
      </w:r>
      <w:r>
        <w:rPr>
          <w:rFonts w:ascii="Times New Roman" w:hAnsi="Times New Roman"/>
          <w:caps w:val="false"/>
          <w:smallCaps w:val="false"/>
          <w:sz w:val="20"/>
        </w:rPr>
        <w:t>), which provides guidance to establish general standards of accounting for and disclosures of events that occur after the balance sheet date but before the consolidated financial statements are issued or are available to be issued. ASC </w:t>
      </w:r>
      <w:r>
        <w:rPr>
          <w:rStyle w:val="Emphasis"/>
          <w:rFonts w:ascii="Times New Roman" w:hAnsi="Times New Roman"/>
          <w:caps w:val="false"/>
          <w:smallCaps w:val="false"/>
          <w:sz w:val="20"/>
        </w:rPr>
        <w:t>855</w:t>
      </w:r>
      <w:r>
        <w:rPr>
          <w:rFonts w:ascii="Times New Roman" w:hAnsi="Times New Roman"/>
          <w:caps w:val="false"/>
          <w:smallCaps w:val="false"/>
          <w:sz w:val="20"/>
        </w:rPr>
        <w:t> sets forth (i) the period after the balance sheet date during which management of a reporting entity evaluates events or transactions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occur for potential recognition or disclosure in the consolidated financial statements, (ii) the circumstances under which an entity should recognize events or transactions occurring after the balance sheet date in its consolidated financial statements, and (iii) the disclosures that an entity should make about events or transactions that occurred after the balance sheet date. Accordingly,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have any subsequent events that require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1" w:name="item2"/>
      <w:bookmarkEnd w:id="11"/>
      <w:r>
        <w:rPr>
          <w:rFonts w:ascii="Times New Roman" w:hAnsi="Times New Roman"/>
          <w:b/>
          <w:caps w:val="false"/>
          <w:smallCaps w:val="false"/>
          <w:sz w:val="20"/>
        </w:rPr>
        <w:t>Item 2</w:t>
      </w:r>
      <w:r>
        <w:rPr>
          <w:rFonts w:ascii="Times New Roman" w:hAnsi="Times New Roman"/>
          <w:caps w:val="false"/>
          <w:smallCaps w:val="false"/>
          <w:sz w:val="20"/>
        </w:rPr>
        <w:t> –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management’s discussion and analysis should be read in conjunction with the consolidated financial statements and notes included elsewhere in this report on Form 10-Q. All amounts described in this section are in thousands, except percentages, periods of time, and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management’s discussion and analysis, as well as other sections of this report on Form 10-K, may contain “forward-looking statements” 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“believe,” “estimate,” “project,” “expect,” “intend,” “may,” “anticipate,” “plan,” “seek,” and similar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in Part II herein, under the heading “Item 1A. Risk Factors” in our Annual Report on Form 10-K for the fiscal year ended December 31, 2025 and other risks and uncertainties discussed in filings made with the Securities and Exchange Commission (including risks described in subsequent reports on Form 10-Q, Form 10-K, Form 8-K, and other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Liquidmetal Technologies, Inc. disclaims any intention or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materials technology and manufacturing company focused on the development and commercialization of products made from proprietary amorphous alloys and/or utilizing proprietary amorphous alloy manufacturing technologies. In addition to developing our own manufacturing facility through our subsidiary in China, we work with third-party manufacturing and commercial partners to develop and commercial products made from our proprietary amorphous alloys.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we believe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We believe the alloys and the molding technologies we employ can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All of these characteristics are achievable from the molding process, so design engineers often do not have to select specific alloys to achieve one or more of the characteristics as is the case with crystalline materials. We believe these advantages could result in Liquidmetal alloys supplanting high-performance alloys, such as titanium and stainless steel, and other incumbent materials in a wide variety of applications. Moreover, we believe these advantages could enable the introduction of entirely new products and applications that are not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revenues are derived from i) selling our bulk amorphous alloy custom products and parts for applications which include, but are not limited to, non-consumer electronic devices, robotic components, medical products, automotive components, and sports and leisure goods; ii) selling tooling and prototype parts such as demonstration parts and test samples for customers with products in development; and iii) product licensing and 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cost of sales consists primarily of the costs of manufacturing, which include raw alloy and direct labor costs. Selling, general, and administrative expenses currently consist primarily of salaries and related benefits, travel, consulting and professional fees, depreciation and amortization, insurance, office and administrative expenses, and other expenses related 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represent salaries, related benefits expenses, consulting and contract services, expenses incurred for the design and testing of new processing methods, expenses for the development of sample and prototype products, and other expenses related to the research and development of Liquidmetal bulk alloys. Costs associated with research and development activities are expensed as incurred. We plan to enhance our competitive position by improving our existing technologies and developing advances in amorphous alloy technologies. We believe that our research and development efforts will focus on the discovery of new alloy compositions, the development of improved processing technology, and the identification of new applications for our alloys.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Hangzhou Feifeng Liquidmetal Co., Ltd. Joint Venture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4, 2025, Liquidmetal Asia Holdings Limited (“Liquidmetal Asia”), a Hong Kong incorporated wholly owned subsidiary, entered into a shareholders agreement with Mr. Chong Liu, an individual investor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The Joint Venture Company is owned 70% by Liquidmetal Asia and 30% by Mr. Liu and has been capitalized with $6.0 million USD of initial capital, of which $4.2 million has been contributed by Liquidmetal Asia, and $1.8 million will be contributed by Mr. Liu on or before May 25,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Yihao Manufacturing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12, 2022, Liquidmetal Technologies entered into a manufacturing agreement (“Manufacturing Agreement”) with Dongguan Yihao Metal Materials Technology Co. Ltd. (“Yihao”) to become an outsourced manufacturer of the Company’s products. Under the Manufacturing Agreement, which has a term of five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Liquidmetal Golf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13, 2022, our Liquidmetal Golf subsidiary entered into a sublicense agreement (“LMG Sublicense Agreement”) with Amorphous Technologies Japan, Inc. (“ATJ”), a newly formed Japanese entity that was established by Twins Corporation, a sporting goods company operating in Japan. Under the agreement, LMG granted to ATJ a nonexclusive worldwide sublicense to the Company’s amorphous alloy technology and related trademarks to manufacture and sell golf clubs and golf related products. The LMG Sublicense Agreement had an original term of three years and has been extended for an additional three year term that provides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Facility Purchase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16, 2017, we purchased a 41,000 square foot facility (the “Facility”) located in Lake Forest, CA for $7,818.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23, 2020, 20321 Valencia, LLC, a Delaware limited liability company and our wholly owned subsidiary that owns the Facility entered into a lease agreement pursuant to which we leased to MatterHackers, Inc., a Delaware corporation (“Tenant”), an approximately 32,534 square foot portion of the Facility. The lease term was for 5 years and 2 months and expired on April 30, 2025. The base rent payable under the lease was $33 per month initially and was subject to periodic increases up to a maximum of approximately $54 per month. Tenant paid approximately 79% of common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26, 2025, we entered into a new lease agreement (the “Facility Lease”) for a 5 year term commencing on May 1, 2025 and expanded the leased square footage to 40,090 square feet. The base rent payable under the Facility Lease is $52 per month initially and is subject to periodic increases up to a maximum of approximately $58 per month. Tenant will pay approximately 98% of building operating expenses. The Facility Lease grants us or Tenant the right to terminate the Facility Lease after two and a half years into the lease term and has other customary provisions, including provisions relating to default and usage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2016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we entered into a Securities Purchase Agreement (the “2016 Purchase Agreement”) with Liquidmetal Technology Limited, a Hong Kong company (the “Investor”), which is controlled by our Chairman, Professor Lugee Li (“Professor Li”). The 2016 Purchase Agreement provided for the purchase by the Investor of a total of 405,000,000 shares of our common stock for an aggregate purchase price of $63,400. The transaction occurred in multiple closings, with the Investor having purchased 105,000,000 shares at a purchase price of $8,400 (or $0.08 per share) at the initial closing on March 10, 2016, and the remaining 200,000,000 shares at $0.15 per share and 100,000,000 shares at $0.25 per share for an aggregate purchase price of $55,000 on October 26, 2016. On October 10, 2024, the Investor sold 179,787,888 to various buyers leaving 226,572,262 shares of our common stock owned by the Investor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shares issuable under the 2016 Purchase Agreement, we issued to the Investor a warrant to acquire 10,066,809 shares of common stock. The warrant expired on March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in connection with the 2016 Purchase Agreement, we entered into a Parallel License Agreement (the “License Agreement”) with DongGuan Eontec Co., Ltd., a Hong Kong corporation (“Eontec”) pursuant to which we each entered into a cross-license of our respective technologies. Our Chairman, Professor Li, is also the Chairman of Eontec.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us and Eontec. In particular, we granted to Eontec a paid-up, royalty-free, perpetual license to our patents and related technical information to make, have made, use, offer to sell, sell, export, and import products in certain geographic areas outside of North America and Europe. In turn, Eontec granted to us a paid-up, royalty-free, perpetual license to Eontec’s patents and related technical information to make, have made, use, offer to sell, sell, export, and import products in certain geographic areas outside of specified countries in Asia. The license granted by us to Eontec is exclusive (including to the exclusion of us) in the countries of Brunei, Cambodia, China (P.R.C and R.O.C.), East Timor, Indonesia, Japan, Laos, Malaysia, Myanmar, Philippines, Singapore, South Korea, Thailand, and Vietnam. The license granted by Eontec to us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5, 2010, we entered into a license transaction with Apple pursuant to which (i) we contributed substantially all of our intellectual property assets to a newly organized special-purpose, wholly-owned subsidiary, Crucible Intellectual Property, LLC (“CIP”), (ii) CIP granted to Apple a perpetual, worldwide, fully-paid, exclusive license to commercialize such intellectual property in the field of consumer electronic products, as defined in the license agreement, in exchange for a license fee, and (iii) CIP granted back to us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agreements relating to the license transaction with Apple, we were obligated to contribute to CIP all intellectual property that we developed through February 2016. We are also obligated to maintain certain limited liability company formalities with respect to CIP at all times after the closing of the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Swatch Group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2009, we entered into a license agreement with Swatch Group, Ltd. (“Swatch”) under which Swatch was granted a non-exclusive license to our technology to produce and market watches and certain other luxury products. In March 2011, this license agreement was amended to grant Swatch exclusive rights as to watches, but non-exclusive as to Apple. We will receive royalty payments over the life of the contract on all Liquidmetal products produced and sold by Swatch. The license agreement with Swatch will expire on the expiration date of the last-to-expire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accounting principles generally accepted in the United States requires us to make estimates and assumptions that affect reported amounts of assets and liabilities and disclosure of contingent assets and liabilities at the date of the financial statements and the reported amounts of revenues and expenses during the reporting period. These estimates and assumptions are based on historical experience and various other factors that are believed to be reasonable under the circumstances. Actual results could differ materially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following accounting policies are the most critical to our consolidated financial statements since these policies require significant judgment or involve complex estimates that are important to the portrayal of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7" w:type="dxa"/>
        <w:tblLayout w:type="fixed"/>
        <w:tblCellMar>
          <w:top w:w="28" w:type="dxa"/>
          <w:left w:w="28" w:type="dxa"/>
          <w:bottom w:w="28" w:type="dxa"/>
          <w:right w:w="28" w:type="dxa"/>
        </w:tblCellMar>
      </w:tblPr>
      <w:tblGrid>
        <w:gridCol w:w="75"/>
        <w:gridCol w:w="110"/>
        <w:gridCol w:w="5045"/>
      </w:tblGrid>
      <w:tr>
        <w:trPr/>
        <w:tc>
          <w:tcPr>
            <w:tcW w:w="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1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recognition</w:t>
            </w:r>
          </w:p>
        </w:tc>
      </w:tr>
      <w:tr>
        <w:trPr/>
        <w:tc>
          <w:tcPr>
            <w:tcW w:w="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long-lived assets and definite-lived intangibles</w:t>
            </w:r>
          </w:p>
        </w:tc>
      </w:tr>
      <w:tr>
        <w:trPr/>
        <w:tc>
          <w:tcPr>
            <w:tcW w:w="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r>
      <w:tr>
        <w:trPr/>
        <w:tc>
          <w:tcPr>
            <w:tcW w:w="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Annual Report on Form 10-K for the year ended December 31, 2025 (the “2025 Annual Report”) contains further discussions on our 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9515" w:type="dxa"/>
        <w:jc w:val="left"/>
        <w:tblInd w:w="0" w:type="dxa"/>
        <w:tblLayout w:type="fixed"/>
        <w:tblCellMar>
          <w:top w:w="0" w:type="dxa"/>
          <w:left w:w="0" w:type="dxa"/>
          <w:bottom w:w="0" w:type="dxa"/>
          <w:right w:w="0" w:type="dxa"/>
        </w:tblCellMar>
      </w:tblPr>
      <w:tblGrid>
        <w:gridCol w:w="4430"/>
        <w:gridCol w:w="60"/>
        <w:gridCol w:w="122"/>
        <w:gridCol w:w="543"/>
        <w:gridCol w:w="80"/>
        <w:gridCol w:w="60"/>
        <w:gridCol w:w="74"/>
        <w:gridCol w:w="606"/>
        <w:gridCol w:w="170"/>
        <w:gridCol w:w="60"/>
        <w:gridCol w:w="159"/>
        <w:gridCol w:w="506"/>
        <w:gridCol w:w="80"/>
        <w:gridCol w:w="60"/>
        <w:gridCol w:w="74"/>
        <w:gridCol w:w="606"/>
        <w:gridCol w:w="170"/>
        <w:gridCol w:w="60"/>
        <w:gridCol w:w="159"/>
        <w:gridCol w:w="506"/>
        <w:gridCol w:w="80"/>
        <w:gridCol w:w="60"/>
        <w:gridCol w:w="76"/>
        <w:gridCol w:w="544"/>
        <w:gridCol w:w="170"/>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5"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Changes</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170" w:type="dxa"/>
            <w:tcBorders/>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360" w:right="0" w:hanging="0"/>
              <w:jc w:val="left"/>
              <w:rPr/>
            </w:pPr>
            <w:r>
              <w:rPr/>
              <w:t> </w:t>
            </w:r>
          </w:p>
        </w:tc>
      </w:tr>
      <w:tr>
        <w:trPr/>
        <w:tc>
          <w:tcPr>
            <w:tcW w:w="44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98.5</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w:t>
            </w:r>
          </w:p>
        </w:tc>
        <w:tc>
          <w:tcPr>
            <w:tcW w:w="170" w:type="dxa"/>
            <w:tcBorders/>
            <w:shd w:fill="FFFFFF" w:val="clear"/>
            <w:vAlign w:val="center"/>
          </w:tcPr>
          <w:p>
            <w:pPr>
              <w:pStyle w:val="TableContents"/>
              <w:bidi w:val="0"/>
              <w:spacing w:before="0" w:after="283"/>
              <w:ind w:left="36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Licensing and royalties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Cost of sales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54.6</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180" w:right="0" w:hanging="0"/>
              <w:jc w:val="left"/>
              <w:rPr/>
            </w:pPr>
            <w:r>
              <w:rPr/>
              <w:t> </w:t>
            </w:r>
          </w:p>
        </w:tc>
      </w:tr>
      <w:tr>
        <w:trPr/>
        <w:tc>
          <w:tcPr>
            <w:tcW w:w="4430"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Gross profit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26.6</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Operating expenses: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360" w:right="0" w:hanging="0"/>
              <w:jc w:val="left"/>
              <w:rPr/>
            </w:pPr>
            <w:r>
              <w:rPr/>
              <w:t> </w:t>
            </w:r>
          </w:p>
        </w:tc>
      </w:tr>
      <w:tr>
        <w:trPr/>
        <w:tc>
          <w:tcPr>
            <w:tcW w:w="44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648.0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320.4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37.1</w:t>
            </w:r>
          </w:p>
        </w:tc>
        <w:tc>
          <w:tcPr>
            <w:tcW w:w="170" w:type="dxa"/>
            <w:tcBorders/>
            <w:shd w:fill="FFFFFF" w:val="clear"/>
            <w:vAlign w:val="center"/>
          </w:tcPr>
          <w:p>
            <w:pPr>
              <w:pStyle w:val="TableContents"/>
              <w:bidi w:val="0"/>
              <w:spacing w:before="0" w:after="283"/>
              <w:ind w:left="36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Research and development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321.5</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Operating loss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-604.6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-294.8</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Other income (expense):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360" w:right="0" w:hanging="0"/>
              <w:jc w:val="left"/>
              <w:rPr/>
            </w:pPr>
            <w:r>
              <w:rPr/>
              <w:t> </w:t>
            </w:r>
          </w:p>
        </w:tc>
      </w:tr>
      <w:tr>
        <w:trPr/>
        <w:tc>
          <w:tcPr>
            <w:tcW w:w="44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Lease income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w:t>
            </w:r>
          </w:p>
        </w:tc>
        <w:tc>
          <w:tcPr>
            <w:tcW w:w="170" w:type="dxa"/>
            <w:tcBorders/>
            <w:shd w:fill="CCEEFF" w:val="clear"/>
            <w:vAlign w:val="center"/>
          </w:tcPr>
          <w:p>
            <w:pPr>
              <w:pStyle w:val="TableContents"/>
              <w:bidi w:val="0"/>
              <w:spacing w:before="0" w:after="283"/>
              <w:ind w:left="36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FFFFFF" w:val="clear"/>
            <w:vAlign w:val="center"/>
          </w:tcPr>
          <w:p>
            <w:pPr>
              <w:pStyle w:val="TableContents"/>
              <w:bidi w:val="0"/>
              <w:spacing w:before="0" w:after="283"/>
              <w:ind w:left="36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Investment income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600.0</w:t>
            </w:r>
          </w:p>
        </w:tc>
        <w:tc>
          <w:tcPr>
            <w:tcW w:w="170" w:type="dxa"/>
            <w:tcBorders/>
            <w:shd w:fill="CCEEFF" w:val="clear"/>
            <w:vAlign w:val="center"/>
          </w:tcPr>
          <w:p>
            <w:pPr>
              <w:pStyle w:val="TableContents"/>
              <w:bidi w:val="0"/>
              <w:spacing w:before="0" w:after="283"/>
              <w:ind w:left="36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58.2</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113.5</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 before income taxes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-428.6</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taxes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-429.1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(840</w:t>
            </w:r>
          </w:p>
        </w:tc>
        <w:tc>
          <w:tcPr>
            <w:tcW w:w="80" w:type="dxa"/>
            <w:tcBorders>
              <w:bottom w:val="double" w:sz="6" w:space="0" w:color="000000"/>
            </w:tcBorders>
            <w:shd w:fill="CCEEFF" w:val="clear"/>
            <w:tcMar>
              <w:bottom w:w="45"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-428.6</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(524</w:t>
            </w:r>
          </w:p>
        </w:tc>
        <w:tc>
          <w:tcPr>
            <w:tcW w:w="80" w:type="dxa"/>
            <w:tcBorders>
              <w:bottom w:val="double" w:sz="6" w:space="0" w:color="000000"/>
            </w:tcBorders>
            <w:shd w:fill="CCEEFF" w:val="clear"/>
            <w:tcMar>
              <w:bottom w:w="45"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w:t>
            </w:r>
          </w:p>
        </w:tc>
        <w:tc>
          <w:tcPr>
            <w:tcW w:w="80" w:type="dxa"/>
            <w:tcBorders>
              <w:bottom w:val="double" w:sz="6" w:space="0" w:color="000000"/>
            </w:tcBorders>
            <w:shd w:fill="CCEEFF" w:val="clear"/>
            <w:tcMar>
              <w:bottom w:w="45"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Revenue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Revenue</w:t>
      </w:r>
      <w:r>
        <w:rPr>
          <w:rFonts w:ascii="Times New Roman" w:hAnsi="Times New Roman"/>
          <w:i/>
          <w:caps w:val="false"/>
          <w:smallCaps w:val="false"/>
          <w:sz w:val="20"/>
        </w:rPr>
        <w:t>.</w:t>
      </w:r>
      <w:r>
        <w:rPr>
          <w:rFonts w:ascii="Times New Roman" w:hAnsi="Times New Roman"/>
          <w:caps w:val="false"/>
          <w:smallCaps w:val="false"/>
          <w:sz w:val="20"/>
        </w:rPr>
        <w:t xml:space="preserve"> Total revenue decreased by $93 to $196 for the three months ended June 30, 2026 from $289 for the three months ended June 30, 2025. The decrease was attributable to decrease in product shipments primarily related to recurring customer orders and medical device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Cost of Sales</w:t>
      </w:r>
      <w:r>
        <w:rPr>
          <w:rFonts w:ascii="Times New Roman" w:hAnsi="Times New Roman"/>
          <w:i/>
          <w:caps w:val="false"/>
          <w:smallCaps w:val="false"/>
          <w:sz w:val="20"/>
        </w:rPr>
        <w:t>.</w:t>
      </w:r>
      <w:r>
        <w:rPr>
          <w:rFonts w:ascii="Times New Roman" w:hAnsi="Times New Roman"/>
          <w:caps w:val="false"/>
          <w:smallCaps w:val="false"/>
          <w:sz w:val="20"/>
        </w:rPr>
        <w:t xml:space="preserve"> Cost of sales was $107, or 54.6% of total revenue, for the three months ended June 30, 2026, as compared to $212, or 73.4% of total revenue, for the three months ended June 30, 2025. The decrease in our cost of sales was primarily driven by lower costs of tariffs during Q2 2026 compared to Q2 2025. Once we are able to sustain and increase shipments of routine, commercial products and parts through our contract manufacturers, we expect our cost of sales percentages to decrease, stabilize,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Gross Profit</w:t>
      </w:r>
      <w:r>
        <w:rPr>
          <w:rFonts w:ascii="Times New Roman" w:hAnsi="Times New Roman"/>
          <w:i/>
          <w:caps w:val="false"/>
          <w:smallCaps w:val="false"/>
          <w:sz w:val="20"/>
        </w:rPr>
        <w:t>.</w:t>
      </w:r>
      <w:r>
        <w:rPr>
          <w:rFonts w:ascii="Times New Roman" w:hAnsi="Times New Roman"/>
          <w:caps w:val="false"/>
          <w:smallCaps w:val="false"/>
          <w:sz w:val="20"/>
        </w:rPr>
        <w:t> Our gross profit increased by $12 from $77 for the three months ended June 30, 2025 to $89 for the three months ended June 30, 2026. Our gross margin percentage increased slightly from Q2 2025 to Q2 2026. Our gross profit percentages have fluctuated and may continue to fluctuate based on production volumes and quoted production prices per unit and may not be representative of our future business. If we are able to sustain and increase shipments of routine, commercial products and parts through future orders to third party contract manufacturers, we expect our gross profit percentages to stabilize, increase,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Selling,</w:t>
      </w:r>
      <w:r>
        <w:rPr>
          <w:rFonts w:ascii="Times New Roman" w:hAnsi="Times New Roman"/>
          <w:caps w:val="false"/>
          <w:smallCaps w:val="false"/>
          <w:sz w:val="20"/>
        </w:rPr>
        <w:t> </w:t>
      </w:r>
      <w:r>
        <w:rPr>
          <w:rFonts w:ascii="Times New Roman" w:hAnsi="Times New Roman"/>
          <w:b/>
          <w:i/>
          <w:caps w:val="false"/>
          <w:smallCaps w:val="false"/>
          <w:sz w:val="20"/>
        </w:rPr>
        <w:t>marketing, general, and administrative expenses</w:t>
      </w:r>
      <w:r>
        <w:rPr>
          <w:rFonts w:ascii="Times New Roman" w:hAnsi="Times New Roman"/>
          <w:caps w:val="false"/>
          <w:smallCaps w:val="false"/>
          <w:sz w:val="20"/>
        </w:rPr>
        <w:t>. Selling, marketing, general, and administrative expenses increased by $344 to $1,270, or 648.0% of revenue, for the three months ended June 30, 2026 from $926, or 320.4% of revenue, for the three months ended June 30, 2025. The increase in expenses was primarily attributable to increase in payroll expenses and expenses related to our factory build out in China in Q2 2026 compared to Q2 2025. Stock Based compensation was $33 for the three months ended June 30, 2026 and $33 for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Research and development expenses</w:t>
      </w:r>
      <w:r>
        <w:rPr>
          <w:rFonts w:ascii="Times New Roman" w:hAnsi="Times New Roman"/>
          <w:i/>
          <w:caps w:val="false"/>
          <w:smallCaps w:val="false"/>
          <w:sz w:val="20"/>
        </w:rPr>
        <w:t>.</w:t>
      </w:r>
      <w:r>
        <w:rPr>
          <w:rFonts w:ascii="Times New Roman" w:hAnsi="Times New Roman"/>
          <w:caps w:val="false"/>
          <w:smallCaps w:val="false"/>
          <w:sz w:val="20"/>
        </w:rPr>
        <w:t xml:space="preserve"> Research and development expenses increased to $4, or 2.0% of revenue, for the three months ended June 30, 2026, and $3, or 1.0% of revenue, for the three months ended June 30, 2025. This was primarily due to continuing efforts to perform research and development on new Liquidmetal alloys and related processing capabilities, albeit on a reduced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Non-operational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Investment income</w:t>
      </w:r>
      <w:r>
        <w:rPr>
          <w:rFonts w:ascii="Times New Roman" w:hAnsi="Times New Roman"/>
          <w:i/>
          <w:caps w:val="false"/>
          <w:smallCaps w:val="false"/>
          <w:sz w:val="20"/>
        </w:rPr>
        <w:t>.</w:t>
      </w:r>
      <w:r>
        <w:rPr>
          <w:rFonts w:ascii="Times New Roman" w:hAnsi="Times New Roman"/>
          <w:caps w:val="false"/>
          <w:smallCaps w:val="false"/>
          <w:sz w:val="20"/>
        </w:rPr>
        <w:t> Investment income relates to realized gains earned from our investments in debt securities for the respective periods. Investment income was $35 and $5 for the three months ended June 30, 2026 and 2025, respectively. The increase during the three months ended June 30, 2026 is primarily due to increased income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i/>
          <w:caps w:val="false"/>
          <w:smallCaps w:val="false"/>
          <w:sz w:val="20"/>
        </w:rPr>
        <w:t>.</w:t>
      </w:r>
      <w:r>
        <w:rPr>
          <w:rFonts w:ascii="Times New Roman" w:hAnsi="Times New Roman"/>
          <w:caps w:val="false"/>
          <w:smallCaps w:val="false"/>
          <w:sz w:val="20"/>
        </w:rPr>
        <w:t> Interest income relates to interest earned from our cash deposits and investments in debt securities for the respective periods. Interest income was $114 and $163 for the three months ended June 30, 2026 and 2025, respectively. The decrease during the three months ended June 30, 2026 is primarily due to withdrawals from debt securities to fund our new joint venture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Lease income</w:t>
      </w:r>
      <w:r>
        <w:rPr>
          <w:rFonts w:ascii="Times New Roman" w:hAnsi="Times New Roman"/>
          <w:i/>
          <w:caps w:val="false"/>
          <w:smallCaps w:val="false"/>
          <w:sz w:val="20"/>
        </w:rPr>
        <w:t>.</w:t>
      </w:r>
      <w:r>
        <w:rPr>
          <w:rFonts w:ascii="Times New Roman" w:hAnsi="Times New Roman"/>
          <w:caps w:val="false"/>
          <w:smallCaps w:val="false"/>
          <w:sz w:val="20"/>
        </w:rPr>
        <w:t> Lease income relates to straight-line rental income received under the Facility Lease. Such amounts were $196 and $160 for the three months ended June 30, 2026 and 2025, respectively. The increase during the three months ended June 30, 2026 was primarily due to amendment of the Facility Lease on May 1, 2025 and the related increase in leased square footage.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loss</w:t>
      </w:r>
      <w:r>
        <w:rPr>
          <w:rFonts w:ascii="Times New Roman" w:hAnsi="Times New Roman"/>
          <w:i/>
          <w:caps w:val="false"/>
          <w:smallCaps w:val="false"/>
          <w:sz w:val="20"/>
        </w:rPr>
        <w:t>.</w:t>
      </w:r>
      <w:r>
        <w:rPr>
          <w:rFonts w:ascii="Times New Roman" w:hAnsi="Times New Roman"/>
          <w:caps w:val="false"/>
          <w:smallCaps w:val="false"/>
          <w:sz w:val="20"/>
        </w:rPr>
        <w:t> Our annual net losses of $841 for the three months ended June 30, 2026 and $525 for the three months ended June 30, 2025 are primarily reflective of operating expenses associated with our on-going business as well as non-operational income,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Comparison of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9515" w:type="dxa"/>
        <w:jc w:val="left"/>
        <w:tblInd w:w="0" w:type="dxa"/>
        <w:tblLayout w:type="fixed"/>
        <w:tblCellMar>
          <w:top w:w="0" w:type="dxa"/>
          <w:left w:w="0" w:type="dxa"/>
          <w:bottom w:w="0" w:type="dxa"/>
          <w:right w:w="0" w:type="dxa"/>
        </w:tblCellMar>
      </w:tblPr>
      <w:tblGrid>
        <w:gridCol w:w="4430"/>
        <w:gridCol w:w="60"/>
        <w:gridCol w:w="122"/>
        <w:gridCol w:w="543"/>
        <w:gridCol w:w="80"/>
        <w:gridCol w:w="60"/>
        <w:gridCol w:w="74"/>
        <w:gridCol w:w="606"/>
        <w:gridCol w:w="170"/>
        <w:gridCol w:w="60"/>
        <w:gridCol w:w="122"/>
        <w:gridCol w:w="543"/>
        <w:gridCol w:w="80"/>
        <w:gridCol w:w="60"/>
        <w:gridCol w:w="74"/>
        <w:gridCol w:w="606"/>
        <w:gridCol w:w="170"/>
        <w:gridCol w:w="60"/>
        <w:gridCol w:w="159"/>
        <w:gridCol w:w="506"/>
        <w:gridCol w:w="80"/>
        <w:gridCol w:w="60"/>
        <w:gridCol w:w="64"/>
        <w:gridCol w:w="556"/>
        <w:gridCol w:w="170"/>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0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Changes</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Change</w:t>
            </w:r>
          </w:p>
        </w:tc>
        <w:tc>
          <w:tcPr>
            <w:tcW w:w="170" w:type="dxa"/>
            <w:tcBorders/>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Revenue: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360" w:right="0" w:hanging="0"/>
              <w:jc w:val="left"/>
              <w:rPr/>
            </w:pPr>
            <w:r>
              <w:rPr/>
              <w:t> </w:t>
            </w:r>
          </w:p>
        </w:tc>
      </w:tr>
      <w:tr>
        <w:trPr/>
        <w:tc>
          <w:tcPr>
            <w:tcW w:w="44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99.3</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w:t>
            </w:r>
          </w:p>
        </w:tc>
        <w:tc>
          <w:tcPr>
            <w:tcW w:w="170" w:type="dxa"/>
            <w:tcBorders/>
            <w:shd w:fill="FFFFFF" w:val="clear"/>
            <w:vAlign w:val="center"/>
          </w:tcPr>
          <w:p>
            <w:pPr>
              <w:pStyle w:val="TableContents"/>
              <w:bidi w:val="0"/>
              <w:spacing w:before="0" w:after="283"/>
              <w:ind w:left="36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Licensing and royalties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revenue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-20.8</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Cost of sales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72.9</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180" w:right="0" w:hanging="0"/>
              <w:jc w:val="left"/>
              <w:rPr/>
            </w:pPr>
            <w:r>
              <w:rPr/>
              <w:t> </w:t>
            </w:r>
          </w:p>
        </w:tc>
      </w:tr>
      <w:tr>
        <w:trPr/>
        <w:tc>
          <w:tcPr>
            <w:tcW w:w="4430"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Gross profit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Operating expenses: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360" w:right="0" w:hanging="0"/>
              <w:jc w:val="left"/>
              <w:rPr/>
            </w:pPr>
            <w:r>
              <w:rPr/>
              <w:t> </w:t>
            </w:r>
          </w:p>
        </w:tc>
      </w:tr>
      <w:tr>
        <w:trPr/>
        <w:tc>
          <w:tcPr>
            <w:tcW w:w="44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549.1</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332.9</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30.6</w:t>
            </w:r>
          </w:p>
        </w:tc>
        <w:tc>
          <w:tcPr>
            <w:tcW w:w="170" w:type="dxa"/>
            <w:tcBorders/>
            <w:shd w:fill="FFFFFF" w:val="clear"/>
            <w:vAlign w:val="center"/>
          </w:tcPr>
          <w:p>
            <w:pPr>
              <w:pStyle w:val="TableContents"/>
              <w:bidi w:val="0"/>
              <w:spacing w:before="0" w:after="283"/>
              <w:ind w:left="36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Research and development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2,489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550.7</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334.2</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Operating loss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-513.9</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-307.0</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Other income (expense):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360" w:right="0" w:hanging="0"/>
              <w:jc w:val="left"/>
              <w:rPr/>
            </w:pPr>
            <w:r>
              <w:rPr/>
              <w:t> </w:t>
            </w:r>
          </w:p>
        </w:tc>
      </w:tr>
      <w:tr>
        <w:trPr/>
        <w:tc>
          <w:tcPr>
            <w:tcW w:w="44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Lease income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86.7</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43.6</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57.4</w:t>
            </w:r>
          </w:p>
        </w:tc>
        <w:tc>
          <w:tcPr>
            <w:tcW w:w="170" w:type="dxa"/>
            <w:tcBorders/>
            <w:shd w:fill="CCEEFF" w:val="clear"/>
            <w:vAlign w:val="center"/>
          </w:tcPr>
          <w:p>
            <w:pPr>
              <w:pStyle w:val="TableContents"/>
              <w:bidi w:val="0"/>
              <w:spacing w:before="0" w:after="283"/>
              <w:ind w:left="36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income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54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1400.0</w:t>
            </w:r>
          </w:p>
        </w:tc>
        <w:tc>
          <w:tcPr>
            <w:tcW w:w="170" w:type="dxa"/>
            <w:tcBorders/>
            <w:shd w:fill="FFFFFF" w:val="clear"/>
            <w:vAlign w:val="center"/>
          </w:tcPr>
          <w:p>
            <w:pPr>
              <w:pStyle w:val="TableContents"/>
              <w:bidi w:val="0"/>
              <w:spacing w:before="0" w:after="283"/>
              <w:ind w:left="36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Investment income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-33.8</w:t>
            </w:r>
          </w:p>
        </w:tc>
        <w:tc>
          <w:tcPr>
            <w:tcW w:w="170" w:type="dxa"/>
            <w:tcBorders/>
            <w:shd w:fill="CCEEFF" w:val="clear"/>
            <w:vAlign w:val="center"/>
          </w:tcPr>
          <w:p>
            <w:pPr>
              <w:pStyle w:val="TableContents"/>
              <w:bidi w:val="0"/>
              <w:spacing w:before="0" w:after="283"/>
              <w:ind w:left="360" w:right="0" w:hanging="0"/>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55.5</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158.8</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115.8</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 before income taxes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-355.1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Income taxes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-355.3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46.9</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-355.1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Revenue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Revenue</w:t>
      </w:r>
      <w:r>
        <w:rPr>
          <w:rFonts w:ascii="Times New Roman" w:hAnsi="Times New Roman"/>
          <w:i/>
          <w:caps w:val="false"/>
          <w:smallCaps w:val="false"/>
          <w:sz w:val="20"/>
        </w:rPr>
        <w:t>.</w:t>
      </w:r>
      <w:r>
        <w:rPr>
          <w:rFonts w:ascii="Times New Roman" w:hAnsi="Times New Roman"/>
          <w:caps w:val="false"/>
          <w:smallCaps w:val="false"/>
          <w:sz w:val="20"/>
        </w:rPr>
        <w:t xml:space="preserve"> Total revenue decreased by $119 to $452 for the six months ended June 30, 2026 from $571 for the six months ended June 30, 2025. The decrease was attributable to decrease in product shipments primarily related to recurring customer orders and medical device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Cost of Sales</w:t>
      </w:r>
      <w:r>
        <w:rPr>
          <w:rFonts w:ascii="Times New Roman" w:hAnsi="Times New Roman"/>
          <w:i/>
          <w:caps w:val="false"/>
          <w:smallCaps w:val="false"/>
          <w:sz w:val="20"/>
        </w:rPr>
        <w:t>.</w:t>
      </w:r>
      <w:r>
        <w:rPr>
          <w:rFonts w:ascii="Times New Roman" w:hAnsi="Times New Roman"/>
          <w:caps w:val="false"/>
          <w:smallCaps w:val="false"/>
          <w:sz w:val="20"/>
        </w:rPr>
        <w:t xml:space="preserve"> Cost of sales was $286, or 63.3% of total revenue, for the six months ended June 30, 2026, as compared to $416, or 72.9% of total revenue, for the six months ended June 30, 2025. The decrease in our cost of sales was primarily driven by lower tariffs for customer shipments in Q2 2026 compared to Q2 2025. Once we are able to sustain and increase shipments of routine, commercial products and parts through our contract manufacturers, we expect our cost of sales percentages to decrease, stabilize,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Gross Profit</w:t>
      </w:r>
      <w:r>
        <w:rPr>
          <w:rFonts w:ascii="Times New Roman" w:hAnsi="Times New Roman"/>
          <w:i/>
          <w:caps w:val="false"/>
          <w:smallCaps w:val="false"/>
          <w:sz w:val="20"/>
        </w:rPr>
        <w:t>.</w:t>
      </w:r>
      <w:r>
        <w:rPr>
          <w:rFonts w:ascii="Times New Roman" w:hAnsi="Times New Roman"/>
          <w:caps w:val="false"/>
          <w:smallCaps w:val="false"/>
          <w:sz w:val="20"/>
        </w:rPr>
        <w:t> Our gross profit increase by $11 from $155 for the six months ended June 30, 2025 to $166 for the six months ended June 30, 2026. Our gross margin percentage increased slightly from Q2 2025 to Q2 2026. Our gross profit percentages have fluctuated and may continue to fluctuate based on production volumes and quoted production prices per unit and may not be representative of our future business. If we are able to sustain and increase shipments of routine, commercial products and parts through future orders to third party contract manufacturers, we expect our gross profit percentages to stabilize, increase,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Selling,</w:t>
      </w:r>
      <w:r>
        <w:rPr>
          <w:rFonts w:ascii="Times New Roman" w:hAnsi="Times New Roman"/>
          <w:caps w:val="false"/>
          <w:smallCaps w:val="false"/>
          <w:sz w:val="20"/>
        </w:rPr>
        <w:t> </w:t>
      </w:r>
      <w:r>
        <w:rPr>
          <w:rFonts w:ascii="Times New Roman" w:hAnsi="Times New Roman"/>
          <w:b/>
          <w:i/>
          <w:caps w:val="false"/>
          <w:smallCaps w:val="false"/>
          <w:sz w:val="20"/>
        </w:rPr>
        <w:t>marketing, general, and administrative expenses</w:t>
      </w:r>
      <w:r>
        <w:rPr>
          <w:rFonts w:ascii="Times New Roman" w:hAnsi="Times New Roman"/>
          <w:caps w:val="false"/>
          <w:smallCaps w:val="false"/>
          <w:sz w:val="20"/>
        </w:rPr>
        <w:t>. Selling, marketing, general, and administrative expenses increased by $581 to $2,482, or 549.1% of revenue, for the six months ended June 30, 2026 from $1,901, or 332.9% of revenue, for the six months ended June 30, 2025. The increase in expenses was primarily attributable to increase in payroll expenses and expenses related to our factory build out in China in Q2 2026 compared to Q2 2025. Stock Based compensation decreased by $16 to $71 for the six months ended June 30, 2026 from $87 for the six months ended June 30, 2025. The decrease was attributable to no new stock option issuances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Research and development expenses</w:t>
      </w:r>
      <w:r>
        <w:rPr>
          <w:rFonts w:ascii="Times New Roman" w:hAnsi="Times New Roman"/>
          <w:i/>
          <w:caps w:val="false"/>
          <w:smallCaps w:val="false"/>
          <w:sz w:val="20"/>
        </w:rPr>
        <w:t>.</w:t>
      </w:r>
      <w:r>
        <w:rPr>
          <w:rFonts w:ascii="Times New Roman" w:hAnsi="Times New Roman"/>
          <w:caps w:val="false"/>
          <w:smallCaps w:val="false"/>
          <w:sz w:val="20"/>
        </w:rPr>
        <w:t xml:space="preserve"> Research and development expenses was $7, or 1.5% of revenue, for the six months ended June 30, 2026, and $7, or 1.2% of revenue, for the six months ended June 30, 2025. This was primarily due to continuing efforts to perform research and development on new Liquidmetal alloys and related processing capabilities, albeit on a reduced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Non-operational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Investment income</w:t>
      </w:r>
      <w:r>
        <w:rPr>
          <w:rFonts w:ascii="Times New Roman" w:hAnsi="Times New Roman"/>
          <w:i/>
          <w:caps w:val="false"/>
          <w:smallCaps w:val="false"/>
          <w:sz w:val="20"/>
        </w:rPr>
        <w:t>.</w:t>
      </w:r>
      <w:r>
        <w:rPr>
          <w:rFonts w:ascii="Times New Roman" w:hAnsi="Times New Roman"/>
          <w:caps w:val="false"/>
          <w:smallCaps w:val="false"/>
          <w:sz w:val="20"/>
        </w:rPr>
        <w:t> Investment income relates to realized gains earned from our investments in debt securities for the respective periods. Investment income was $45 and $68 for the six months ended June 30, 2026 and 2025, respectively. The decrease during the six months ended June 30, 2026 is primarily due to withdrawals from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i/>
          <w:caps w:val="false"/>
          <w:smallCaps w:val="false"/>
          <w:sz w:val="20"/>
        </w:rPr>
        <w:t>.</w:t>
      </w:r>
      <w:r>
        <w:rPr>
          <w:rFonts w:ascii="Times New Roman" w:hAnsi="Times New Roman"/>
          <w:caps w:val="false"/>
          <w:smallCaps w:val="false"/>
          <w:sz w:val="20"/>
        </w:rPr>
        <w:t> Interest income relates to interest earned from our cash deposits and investments in debt securities for the respective periods. Interest income was $251 and $342 for the six months ended June 30, 2026 and 2025, respectively. The decrease during the six months ended June 30, 2026 is primarily due to withdrawals from debt securities to fund our new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Lease income</w:t>
      </w:r>
      <w:r>
        <w:rPr>
          <w:rFonts w:ascii="Times New Roman" w:hAnsi="Times New Roman"/>
          <w:i/>
          <w:caps w:val="false"/>
          <w:smallCaps w:val="false"/>
          <w:sz w:val="20"/>
        </w:rPr>
        <w:t>.</w:t>
      </w:r>
      <w:r>
        <w:rPr>
          <w:rFonts w:ascii="Times New Roman" w:hAnsi="Times New Roman"/>
          <w:caps w:val="false"/>
          <w:smallCaps w:val="false"/>
          <w:sz w:val="20"/>
        </w:rPr>
        <w:t> Lease income relates to straight-line rental income received under the Facility Lease. Such amounts were $392 and $249 for the six months ended June 30, 2026 and 2025, respectively. The increase during the six months ended June 30, 2026 was primarily due to amendment of the Facility Lease on May 1, 2025 and the related increase in leased square footage.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loss</w:t>
      </w:r>
      <w:r>
        <w:rPr>
          <w:rFonts w:ascii="Times New Roman" w:hAnsi="Times New Roman"/>
          <w:i/>
          <w:caps w:val="false"/>
          <w:smallCaps w:val="false"/>
          <w:sz w:val="20"/>
        </w:rPr>
        <w:t>.</w:t>
      </w:r>
      <w:r>
        <w:rPr>
          <w:rFonts w:ascii="Times New Roman" w:hAnsi="Times New Roman"/>
          <w:caps w:val="false"/>
          <w:smallCaps w:val="false"/>
          <w:sz w:val="20"/>
        </w:rPr>
        <w:t> Our annual net losses of $1,606 for the six months ended June 30, 2026 and $1,093 for the six months ended June 30, 2025 are primarily reflective of operating expenses associated with our on-going business as well as non-operational income,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operating activities totaled $419 and $579 for the six months ended June 30, 2026 and 2025, respectively. The cash was primarily used to fund operating expenses related to our business and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Cash provided by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investing activities totaled $1,521 and $186 for the six months ended June 30, 2026 and 2025, respectively. Investing inflows primarily consist of proceeds from the sale of debt securities. Investing outflows primarily consist of purchases of debt securities and purchases of fixed assets for our factory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Financing arrangements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relatively limited history of selling bulk amorphous alloy products and components on a mass-production scale. Furthermore, the ability of future contract manufacturers to produce our products in desired quantities and at commercially reasonable prices is uncertain and is dependent on a variety of factors that are outside of our control, including the nature and design of the component, the customer’s specifications, and required delivery timelines. These factors have previously required that we engage in equity sales under various stock purchase agreements to support its operations and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However, as of June 30, 2026, we had $8,266 in cash and restricted cash, as well as $10,581 in investments in debt securities. We view this total of $18,847 as readily available sources of liquidity in the event needed to advance our existing strategy, and/or pursue an alternative strategy. As such, we anticipate that our current capital resources, when considering expected losses from operations, will be sufficient to fund our operations for the foreseeable future. Accordingly, we have concluded that there is no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2" w:name="item3"/>
      <w:bookmarkEnd w:id="12"/>
      <w:r>
        <w:rPr>
          <w:rFonts w:ascii="Times New Roman" w:hAnsi="Times New Roman"/>
          <w:b/>
          <w:caps w:val="false"/>
          <w:smallCaps w:val="false"/>
          <w:sz w:val="20"/>
        </w:rPr>
        <w:t>Item 3</w:t>
      </w:r>
      <w:r>
        <w:rPr>
          <w:rFonts w:ascii="Times New Roman" w:hAnsi="Times New Roman"/>
          <w:caps w:val="false"/>
          <w:smallCaps w:val="false"/>
          <w:sz w:val="20"/>
        </w:rPr>
        <w:t> –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3" w:name="item4"/>
      <w:bookmarkEnd w:id="13"/>
      <w:r>
        <w:rPr>
          <w:rFonts w:ascii="Times New Roman" w:hAnsi="Times New Roman"/>
          <w:b/>
          <w:caps w:val="false"/>
          <w:smallCaps w:val="false"/>
          <w:sz w:val="20"/>
        </w:rPr>
        <w:t>Item 4</w:t>
      </w:r>
      <w:r>
        <w:rPr>
          <w:rFonts w:ascii="Times New Roman" w:hAnsi="Times New Roman"/>
          <w:caps w:val="false"/>
          <w:smallCaps w:val="false"/>
          <w:sz w:val="20"/>
        </w:rPr>
        <w:t> –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Evaluation of Disclosure Controls and Procedures</w:t>
      </w:r>
      <w:r>
        <w:rPr>
          <w:rFonts w:ascii="Times New Roman" w:hAnsi="Times New Roman"/>
          <w:b/>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(our Principal Executive Officer and Principal Financial Officer), we carried out an evaluation of the effectiveness of the design and operation of our disclosure controls and procedures (as defined in Rule 13a-15(e) under the Securities Exchange Act of 1934, as amended (the “Exchange Act”)) as of June 30, 2026. Based on their evaluation, our Chief Executive Officer has concluded that our disclosure controls and procedures were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that term is defined in Rules 13a-15(f) or 15d-15(f) under the Exchange Act)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4" w:name="part2"/>
      <w:bookmarkEnd w:id="14"/>
      <w:r>
        <w:rPr>
          <w:rFonts w:ascii="Times New Roman" w:hAnsi="Times New Roman"/>
          <w:b/>
          <w:caps w:val="false"/>
          <w:smallCaps w:val="false"/>
          <w:sz w:val="20"/>
        </w:rPr>
        <w:t>PART 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5" w:name="legal"/>
      <w:bookmarkEnd w:id="15"/>
      <w:r>
        <w:rPr>
          <w:rFonts w:ascii="Times New Roman" w:hAnsi="Times New Roman"/>
          <w:b/>
          <w:caps w:val="false"/>
          <w:smallCaps w:val="false"/>
          <w:sz w:val="20"/>
        </w:rPr>
        <w:t>Item 1</w:t>
      </w:r>
      <w:r>
        <w:rPr>
          <w:rFonts w:ascii="Times New Roman" w:hAnsi="Times New Roman"/>
          <w:caps w:val="false"/>
          <w:smallCaps w:val="false"/>
          <w:sz w:val="20"/>
        </w:rPr>
        <w:t> –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6" w:name="risk"/>
      <w:bookmarkEnd w:id="16"/>
      <w:r>
        <w:rPr>
          <w:rFonts w:ascii="Times New Roman" w:hAnsi="Times New Roman"/>
          <w:b/>
          <w:caps w:val="false"/>
          <w:smallCaps w:val="false"/>
          <w:sz w:val="20"/>
        </w:rPr>
        <w:t>Item 1A</w:t>
      </w:r>
      <w:r>
        <w:rPr>
          <w:rFonts w:ascii="Times New Roman" w:hAnsi="Times New Roman"/>
          <w:caps w:val="false"/>
          <w:smallCaps w:val="false"/>
          <w:sz w:val="20"/>
        </w:rPr>
        <w:t> –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 detailed discussion of the risk factors that should be understood by any investor contemplating an investment in our stock, please refer to Part I, Item 1A “Risk Factors” in the 2025 Annual Report. There have been no material changes from the risk factors previously disclosed in Part I, Item 1A “Risk Factors” in the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7" w:name="unregistered"/>
      <w:bookmarkEnd w:id="17"/>
      <w:r>
        <w:rPr>
          <w:rFonts w:ascii="Times New Roman" w:hAnsi="Times New Roman"/>
          <w:b/>
          <w:caps w:val="false"/>
          <w:smallCaps w:val="false"/>
          <w:sz w:val="20"/>
        </w:rPr>
        <w:t>Item 2</w:t>
      </w:r>
      <w:r>
        <w:rPr>
          <w:rFonts w:ascii="Times New Roman" w:hAnsi="Times New Roman"/>
          <w:caps w:val="false"/>
          <w:smallCaps w:val="false"/>
          <w:sz w:val="20"/>
        </w:rPr>
        <w:t> – </w:t>
      </w:r>
      <w:r>
        <w:rPr>
          <w:rFonts w:ascii="Times New Roman" w:hAnsi="Times New Roman"/>
          <w:b/>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period covered by this Quarterly Report on Form 10-Q, we did not issue or sell any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8" w:name="defaults"/>
      <w:bookmarkEnd w:id="18"/>
      <w:r>
        <w:rPr>
          <w:rFonts w:ascii="Times New Roman" w:hAnsi="Times New Roman"/>
          <w:b/>
          <w:caps w:val="false"/>
          <w:smallCaps w:val="false"/>
          <w:sz w:val="20"/>
        </w:rPr>
        <w:t>Item 3</w:t>
      </w:r>
      <w:r>
        <w:rPr>
          <w:rFonts w:ascii="Times New Roman" w:hAnsi="Times New Roman"/>
          <w:caps w:val="false"/>
          <w:smallCaps w:val="false"/>
          <w:sz w:val="20"/>
        </w:rPr>
        <w:t> –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9" w:name="mine_safety"/>
      <w:bookmarkEnd w:id="19"/>
      <w:r>
        <w:rPr>
          <w:rFonts w:ascii="Times New Roman" w:hAnsi="Times New Roman"/>
          <w:b/>
          <w:caps w:val="false"/>
          <w:smallCaps w:val="false"/>
          <w:sz w:val="20"/>
        </w:rPr>
        <w:t>Item 4</w:t>
      </w:r>
      <w:r>
        <w:rPr>
          <w:rFonts w:ascii="Times New Roman" w:hAnsi="Times New Roman"/>
          <w:caps w:val="false"/>
          <w:smallCaps w:val="false"/>
          <w:sz w:val="20"/>
        </w:rPr>
        <w:t> –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283"/>
        <w:jc w:val="left"/>
        <w:rPr/>
      </w:pPr>
      <w:r>
        <w:rPr/>
        <w:t xml:space="preserve">  </w:t>
      </w:r>
    </w:p>
    <w:p>
      <w:pPr>
        <w:pStyle w:val="TextBody"/>
        <w:bidi w:val="0"/>
        <w:spacing w:before="0" w:after="0"/>
        <w:ind w:left="0" w:right="0" w:hanging="0"/>
        <w:jc w:val="left"/>
        <w:rPr/>
      </w:pPr>
      <w:bookmarkStart w:id="20" w:name="other_info"/>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1" w:name="exhibits"/>
      <w:bookmarkEnd w:id="21"/>
      <w:r>
        <w:rPr>
          <w:rFonts w:ascii="Times New Roman" w:hAnsi="Times New Roman"/>
          <w:b/>
          <w:caps w:val="false"/>
          <w:smallCaps w:val="false"/>
          <w:sz w:val="20"/>
        </w:rPr>
        <w:t>Item 6</w:t>
      </w:r>
      <w:r>
        <w:rPr>
          <w:rFonts w:ascii="Times New Roman" w:hAnsi="Times New Roman"/>
          <w:caps w:val="false"/>
          <w:smallCaps w:val="false"/>
          <w:sz w:val="20"/>
        </w:rPr>
        <w:t> –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documents are filed as exhibits to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680"/>
        <w:gridCol w:w="60"/>
        <w:gridCol w:w="9465"/>
      </w:tblGrid>
      <w:tr>
        <w:trPr/>
        <w:tc>
          <w:tcPr>
            <w:tcW w:w="6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Number</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94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 of Document                                                      </w:t>
            </w:r>
          </w:p>
        </w:tc>
      </w:tr>
      <w:tr>
        <w:trPr/>
        <w:tc>
          <w:tcPr>
            <w:tcW w:w="6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pPr>
            <w:hyperlink w:anchor="ex_990591.htm">
              <w:r>
                <w:rPr>
                  <w:rStyle w:val="InternetLink"/>
                  <w:rFonts w:ascii="Times New Roman;Times;serif" w:hAnsi="Times New Roman;Times;serif"/>
                  <w:caps w:val="false"/>
                  <w:smallCaps w:val="false"/>
                  <w:sz w:val="20"/>
                </w:rPr>
                <w:t>Certification of Principal Executive Officer and Principal Financial Officer, Tony Chung, as required by Section 302 of the Sarbanes-Oxley Act of 2002.</w:t>
              </w:r>
            </w:hyperlink>
          </w:p>
        </w:tc>
      </w:tr>
      <w:tr>
        <w:trPr/>
        <w:tc>
          <w:tcPr>
            <w:tcW w:w="6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pPr>
            <w:hyperlink w:anchor="ex_990592.htm">
              <w:r>
                <w:rPr>
                  <w:rStyle w:val="InternetLink"/>
                  <w:rFonts w:ascii="Times New Roman;Times;serif" w:hAnsi="Times New Roman;Times;serif"/>
                  <w:caps w:val="false"/>
                  <w:smallCaps w:val="false"/>
                  <w:sz w:val="20"/>
                </w:rPr>
                <w:t>Certification of Chief Executive Officer and Principal Financial Officer, Tony Chung, pursuant to 18 U.S.C. Section 1350, as adopted pursuant to Section 906 of the Sarbanes-Oxley Act of 2002.</w:t>
              </w:r>
            </w:hyperlink>
          </w:p>
        </w:tc>
      </w:tr>
      <w:tr>
        <w:trPr/>
        <w:tc>
          <w:tcPr>
            <w:tcW w:w="6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financial statements from Liquidmetal Technologies, Inc.’s Quarterly Report on Form 10-Q for the quarter ended June 30, 2026 (unaudited), formatted in Inline XBRL: (i) Consolidated Balance Sheets as of June 30, 2026 and December 31, 2025, (ii) Consolidated Statements of Operations for the three and six months ended June 30, 2026 and 2025, (iii) Consolidated Statements of Stockholders’ Equity for the three and six months ended June 30, 2026 and 2025, (iv) Consolidated Statements of Comprehensive Loss for the three and six months ended June 30, 2026 and 2025, (v) Consolidated Statements of Cash Flows for the six months ended June 30, 2026 and 2025, and (vi) Notes to Consolidated Financial Statements.</w:t>
            </w:r>
          </w:p>
        </w:tc>
      </w:tr>
      <w:tr>
        <w:trPr/>
        <w:tc>
          <w:tcPr>
            <w:tcW w:w="6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94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2" w:name="signatures"/>
      <w:bookmarkEnd w:id="22"/>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7" w:type="dxa"/>
        <w:tblLayout w:type="fixed"/>
        <w:tblCellMar>
          <w:top w:w="28" w:type="dxa"/>
          <w:left w:w="28" w:type="dxa"/>
          <w:bottom w:w="28" w:type="dxa"/>
          <w:right w:w="28" w:type="dxa"/>
        </w:tblCellMar>
      </w:tblPr>
      <w:tblGrid>
        <w:gridCol w:w="1745"/>
        <w:gridCol w:w="3410"/>
        <w:gridCol w:w="60"/>
      </w:tblGrid>
      <w:tr>
        <w:trPr/>
        <w:tc>
          <w:tcPr>
            <w:tcW w:w="17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34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LIQUIDMETAL TECHNOLOGIES, INC.</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(Registrant)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Tony Chung</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Tony Chung</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7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4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 and Principal</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Officer)</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26 </w:t>
      </w:r>
    </w:p>
    <w:p>
      <w:pPr>
        <w:pStyle w:val="TextBody"/>
        <w:bidi w:val="0"/>
        <w:spacing w:before="0" w:after="0"/>
        <w:ind w:left="0" w:right="0" w:hanging="0"/>
        <w:jc w:val="left"/>
        <w:rPr>
          <w:rFonts w:ascii="Times New Roman" w:hAnsi="Times New Roman"/>
          <w:b/>
          <w:caps w:val="false"/>
          <w:smallCaps w:val="false"/>
          <w:sz w:val="20"/>
        </w:rPr>
      </w:pPr>
      <w:bookmarkStart w:id="23" w:name="ex_990591.htm"/>
      <w:bookmarkStart w:id="24" w:name="ksex_990591"/>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Tony Chung,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Liquidmetal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745"/>
        <w:gridCol w:w="2915"/>
        <w:gridCol w:w="60"/>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25" w:name="ex_990592.htm"/>
      <w:bookmarkStart w:id="26" w:name="ksex_990592"/>
      <w:bookmarkEnd w:id="25"/>
      <w:bookmarkEnd w:id="26"/>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WRITTEN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Solely for the purposes of complying with 18 U.S.C. 1350, I, the undersigned Chief Executive Officer and Principal Financial Officer of Liquidmetal Technologies, Inc. (the “Company”) hereby certify, based on my knowledge, that the Quarterly Report on Form 10-Q of the Company for the quarter ended June 30 2026 (the “Report”) fully complies with the requirements of Section 13(a)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5599" w:type="dxa"/>
        <w:jc w:val="left"/>
        <w:tblInd w:w="0" w:type="dxa"/>
        <w:tblLayout w:type="fixed"/>
        <w:tblCellMar>
          <w:top w:w="0" w:type="dxa"/>
          <w:left w:w="0" w:type="dxa"/>
          <w:bottom w:w="28" w:type="dxa"/>
          <w:right w:w="0" w:type="dxa"/>
        </w:tblCellMar>
      </w:tblPr>
      <w:tblGrid>
        <w:gridCol w:w="5469"/>
        <w:gridCol w:w="130"/>
      </w:tblGrid>
      <w:tr>
        <w:trPr/>
        <w:tc>
          <w:tcPr>
            <w:tcW w:w="5469"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                           </w:t>
            </w:r>
          </w:p>
        </w:tc>
        <w:tc>
          <w:tcPr>
            <w:tcW w:w="130" w:type="dxa"/>
            <w:tcBorders/>
            <w:tcMar>
              <w:bottom w:w="0" w:type="dxa"/>
            </w:tcMar>
            <w:vAlign w:val="center"/>
          </w:tcPr>
          <w:p>
            <w:pPr>
              <w:pStyle w:val="TableContents"/>
              <w:bidi w:val="0"/>
              <w:spacing w:before="0" w:after="283"/>
              <w:jc w:val="left"/>
              <w:rPr/>
            </w:pPr>
            <w:r>
              <w:rPr/>
              <w:t> </w:t>
            </w:r>
          </w:p>
        </w:tc>
      </w:tr>
      <w:tr>
        <w:trPr/>
        <w:tc>
          <w:tcPr>
            <w:tcW w:w="5599" w:type="dxa"/>
            <w:gridSpan w:val="2"/>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 Chief Executive Officer and Principal Financial Officer</w:t>
            </w:r>
          </w:p>
        </w:tc>
      </w:tr>
      <w:tr>
        <w:trPr/>
        <w:tc>
          <w:tcPr>
            <w:tcW w:w="546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6, 2026</w:t>
            </w:r>
          </w:p>
        </w:tc>
        <w:tc>
          <w:tcPr>
            <w:tcW w:w="13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12936</Words>
  <Characters>69057</Characters>
  <CharactersWithSpaces>84974</CharactersWithSpaces>
  <Paragraphs>6589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