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color w:val="auto"/>
        </w:rPr>
        <w:t>Washington, D.C. 20549</w:t>
      </w:r>
    </w:p>
    <w:p>
      <w:pPr>
        <w:spacing w:after="0" w:line="191"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________________________________________</w:t>
      </w:r>
    </w:p>
    <w:p>
      <w:pPr>
        <w:spacing w:after="0" w:line="21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FORM 8-K</w:t>
      </w:r>
    </w:p>
    <w:p>
      <w:pPr>
        <w:spacing w:after="0" w:line="200" w:lineRule="exact"/>
        <w:rPr>
          <w:sz w:val="24"/>
          <w:szCs w:val="24"/>
          <w:color w:val="auto"/>
        </w:rPr>
      </w:pPr>
    </w:p>
    <w:p>
      <w:pPr>
        <w:spacing w:after="0" w:line="24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Pursuant to Section 13 or 15(d) of the</w:t>
      </w:r>
    </w:p>
    <w:p>
      <w:pPr>
        <w:jc w:val="center"/>
        <w:ind w:right="-79"/>
        <w:spacing w:after="0"/>
        <w:rPr>
          <w:sz w:val="20"/>
          <w:szCs w:val="20"/>
          <w:color w:val="auto"/>
        </w:rPr>
      </w:pPr>
      <w:r>
        <w:rPr>
          <w:rFonts w:ascii="Arial" w:cs="Arial" w:eastAsia="Arial" w:hAnsi="Arial"/>
          <w:sz w:val="22"/>
          <w:szCs w:val="22"/>
          <w:color w:val="auto"/>
        </w:rPr>
        <w:t>Securities Exchange Act of 1934</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Date of Report (Date of earliest event reported): October 18, 2017</w:t>
      </w:r>
    </w:p>
    <w:p>
      <w:pPr>
        <w:spacing w:after="0" w:line="235" w:lineRule="exact"/>
        <w:rPr>
          <w:sz w:val="24"/>
          <w:szCs w:val="24"/>
          <w:color w:val="auto"/>
        </w:rPr>
      </w:pPr>
    </w:p>
    <w:p>
      <w:pPr>
        <w:ind w:left="3740"/>
        <w:spacing w:after="0"/>
        <w:rPr>
          <w:sz w:val="20"/>
          <w:szCs w:val="20"/>
          <w:color w:val="auto"/>
        </w:rPr>
      </w:pPr>
      <w:r>
        <w:rPr>
          <w:rFonts w:ascii="Arial" w:cs="Arial" w:eastAsia="Arial" w:hAnsi="Arial"/>
          <w:sz w:val="22"/>
          <w:szCs w:val="22"/>
          <w:b w:val="1"/>
          <w:bCs w:val="1"/>
          <w:color w:val="auto"/>
        </w:rPr>
        <w:t>LIQUIDMETAL TECHNOLOGIES, INC.</w:t>
      </w:r>
    </w:p>
    <w:p>
      <w:pPr>
        <w:spacing w:after="0" w:line="19"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Exact name of Registrant as Specified in its Charter</w:t>
      </w:r>
      <w:r>
        <w:rPr>
          <w:rFonts w:ascii="Arial" w:cs="Arial" w:eastAsia="Arial" w:hAnsi="Arial"/>
          <w:sz w:val="18"/>
          <w:szCs w:val="18"/>
          <w:b w:val="1"/>
          <w:bCs w:val="1"/>
          <w:color w:val="auto"/>
        </w:rPr>
        <w:t>)</w:t>
      </w:r>
    </w:p>
    <w:p>
      <w:pPr>
        <w:sectPr>
          <w:pgSz w:w="11900" w:h="16838" w:orient="portrait"/>
          <w:cols w:equalWidth="0" w:num="1">
            <w:col w:w="11360"/>
          </w:cols>
          <w:pgMar w:left="240" w:top="436" w:right="29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2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7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1440"/>
        <w:spacing w:after="0"/>
        <w:rPr>
          <w:sz w:val="20"/>
          <w:szCs w:val="20"/>
          <w:color w:val="auto"/>
        </w:rPr>
      </w:pPr>
      <w:r>
        <w:rPr>
          <w:rFonts w:ascii="Arial" w:cs="Arial" w:eastAsia="Arial" w:hAnsi="Arial"/>
          <w:sz w:val="18"/>
          <w:szCs w:val="18"/>
          <w:b w:val="1"/>
          <w:bCs w:val="1"/>
          <w:color w:val="auto"/>
        </w:rPr>
        <w:t>001-31332</w:t>
      </w:r>
    </w:p>
    <w:p>
      <w:pPr>
        <w:spacing w:after="0" w:line="27" w:lineRule="exact"/>
        <w:rPr>
          <w:sz w:val="24"/>
          <w:szCs w:val="24"/>
          <w:color w:val="auto"/>
        </w:rPr>
      </w:pPr>
    </w:p>
    <w:p>
      <w:pPr>
        <w:jc w:val="center"/>
        <w:ind w:right="14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33-0264467</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92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220" w:space="720"/>
            <w:col w:w="3440" w:space="720"/>
            <w:col w:w="2260"/>
          </w:cols>
          <w:pgMar w:left="240" w:top="436" w:right="299" w:bottom="1440" w:gutter="0" w:footer="0" w:header="0"/>
          <w:type w:val="continuous"/>
        </w:sectPr>
      </w:pPr>
    </w:p>
    <w:p>
      <w:pPr>
        <w:spacing w:after="0" w:line="2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20321 Valencia Circle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Lake Forest, California 92630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(949) 635-2100</w:t>
      </w:r>
    </w:p>
    <w:p>
      <w:pPr>
        <w:sectPr>
          <w:pgSz w:w="11900" w:h="16838" w:orient="portrait"/>
          <w:cols w:equalWidth="0" w:num="1">
            <w:col w:w="11360"/>
          </w:cols>
          <w:pgMar w:left="240" w:top="436" w:right="299" w:bottom="1440" w:gutter="0" w:footer="0" w:header="0"/>
          <w:type w:val="continuous"/>
        </w:sectPr>
      </w:pPr>
    </w:p>
    <w:p>
      <w:pPr>
        <w:spacing w:after="0" w:line="25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83"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436" w:right="2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LIQUIDMETAL TECHNOLOGIES,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New Executive Officer</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October 18, 2017, the Board of Directors of Liquidmetal Technologies, Inc. (the “Company”) appointed Bruce Bromage as the Company’s Chief Operating Officer. As Chief Operating Officer, Dr. Bromage will be responsible for executing business strategy and management of all Company functions and will report to Professor Lugee Li, the Company’s Chairman, President, and Chief Executive Officer.</w:t>
      </w:r>
    </w:p>
    <w:p>
      <w:pPr>
        <w:spacing w:after="0" w:line="181"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Dr. Bromage, age 64, joined the Company in June 2012 as a strategic marketing and operations consultant, and he was named Executive Vice President of Business Development and Operations in June 2012 prior to being named Chief Operating Officer in October 2017. From April 2002 to August 2010, Dr. Bromage served as Executive Vice President and General Manager of Symmetricom, a publicly traded provider of products for communications infrastructure and systems and was an officer of the company. Responsibilities during his eight years with Symmetricom included Corporate Strategy, M&amp;A Integration, Information Technology, and General Management of the Timing, Test and Measurement Division and the Technology Realization Center. Prior to Symmetricom, Dr. Bromage held senior executive positions with two high-technology startups and managed Strategic Business Development with Hewlett Packard. Dr. Bromage received his Ph.D. in Cognitive Psychology from the University of California, Santa Barbara in 1981 and has completed executive programs with the Stanford Graduate School of Business.</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Mr. Bromage receives a base annual salary of $291,000 per year and is eligible for future discretionary bonuses and equity grants under the Company’s equity incentive plan. Dr. Bromage does not have a written employment agreement with the Company.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There was no arrangement or understanding pursuant to which Dr. Bromage was selected as Chief Operating Officer of the Company. There are no family relationships between Dr. Bromage and any director or executive officer of the Company, or any person chosen by the Company to become a director or executive officer. There are no related party transactions of the kind described in Item 404(a) of Regulation S-K in which Dr. Bromage was or is a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LIQUIDMETAL TECHNOLOGIES, INC.</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 /s/ Bryce Van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Bryce Van, Vice President of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-130810</wp:posOffset>
            </wp:positionV>
            <wp:extent cx="25298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2017</w:t>
      </w:r>
    </w:p>
    <w:sectPr>
      <w:pgSz w:w="11900" w:h="16838" w:orient="portrait"/>
      <w:cols w:equalWidth="0" w:num="1">
        <w:col w:w="11220"/>
      </w:cols>
      <w:pgMar w:left="240" w:top="58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2019-12-06T17:19:03Z</dcterms:created>
  <dcterms:modified xsi:type="dcterms:W3CDTF">2019-12-06T17:19:03Z</dcterms:modified>
</cp:coreProperties>
</file>