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3" w:lineRule="exact"/>
        <w:rPr>
          <w:sz w:val="24"/>
          <w:szCs w:val="24"/>
          <w:color w:val="auto"/>
        </w:rPr>
      </w:pPr>
    </w:p>
    <w:p>
      <w:pPr>
        <w:ind w:left="340" w:right="14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30480</wp:posOffset>
            </wp:positionH>
            <wp:positionV relativeFrom="paragraph">
              <wp:posOffset>-217170</wp:posOffset>
            </wp:positionV>
            <wp:extent cx="117475" cy="11747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475" cy="117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34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30480</wp:posOffset>
            </wp:positionH>
            <wp:positionV relativeFrom="paragraph">
              <wp:posOffset>-551815</wp:posOffset>
            </wp:positionV>
            <wp:extent cx="117475" cy="11747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475" cy="117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0"/>
        </w:trPr>
        <w:tc>
          <w:tcPr>
            <w:tcW w:w="6160" w:type="dxa"/>
            <w:vAlign w:val="bottom"/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160" w:type="dxa"/>
            <w:vAlign w:val="bottom"/>
            <w:vMerge w:val="restart"/>
          </w:tcPr>
          <w:p>
            <w:pPr>
              <w:jc w:val="center"/>
              <w:ind w:right="30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6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6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160" w:type="dxa"/>
            <w:vAlign w:val="bottom"/>
            <w:vMerge w:val="restart"/>
          </w:tcPr>
          <w:p>
            <w:pPr>
              <w:jc w:val="center"/>
              <w:ind w:right="300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61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6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6160" w:type="dxa"/>
            <w:vAlign w:val="bottom"/>
            <w:vMerge w:val="restart"/>
          </w:tcPr>
          <w:p>
            <w:pPr>
              <w:jc w:val="center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1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5183505</wp:posOffset>
            </wp:positionH>
            <wp:positionV relativeFrom="paragraph">
              <wp:posOffset>-598170</wp:posOffset>
            </wp:positionV>
            <wp:extent cx="56515" cy="61150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15" cy="6115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3901440</wp:posOffset>
            </wp:positionH>
            <wp:positionV relativeFrom="paragraph">
              <wp:posOffset>-598170</wp:posOffset>
            </wp:positionV>
            <wp:extent cx="56515" cy="6115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15" cy="6115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-1727200</wp:posOffset>
            </wp:positionH>
            <wp:positionV relativeFrom="paragraph">
              <wp:posOffset>634365</wp:posOffset>
            </wp:positionV>
            <wp:extent cx="7049135" cy="58267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9135" cy="5826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420"/>
            <w:col w:w="8380"/>
          </w:cols>
          <w:pgMar w:left="460" w:top="213" w:right="359" w:bottom="1440" w:gutter="0" w:footer="0" w:header="0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1. Name and Address of Reporting Person</w:t>
      </w:r>
      <w:r>
        <w:rPr>
          <w:rFonts w:ascii="Arial" w:cs="Arial" w:eastAsia="Arial" w:hAnsi="Arial"/>
          <w:sz w:val="20"/>
          <w:szCs w:val="20"/>
          <w:color w:val="auto"/>
          <w:vertAlign w:val="superscript"/>
        </w:rPr>
        <w:t>*</w:t>
      </w:r>
    </w:p>
    <w:p>
      <w:pPr>
        <w:ind w:left="10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Lugee Li Yeung Tak</w:t>
        </w:r>
      </w:hyperlink>
    </w:p>
    <w:p>
      <w:pPr>
        <w:spacing w:after="0" w:line="27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(Last)</w:t>
            </w:r>
          </w:p>
        </w:tc>
        <w:tc>
          <w:tcPr>
            <w:tcW w:w="14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(Middle)</w:t>
            </w: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8 FLEMING ROAD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ROOM 906, TAI TUNG BUILDING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47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(Street)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WANCHAI</w:t>
            </w:r>
          </w:p>
        </w:tc>
        <w:tc>
          <w:tcPr>
            <w:tcW w:w="14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K3</w:t>
            </w:r>
          </w:p>
        </w:tc>
        <w:tc>
          <w:tcPr>
            <w:tcW w:w="12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999077</w:t>
            </w: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(City)</w:t>
            </w:r>
          </w:p>
        </w:tc>
        <w:tc>
          <w:tcPr>
            <w:tcW w:w="14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3820" w:type="dxa"/>
            <w:vAlign w:val="bottom"/>
            <w:gridSpan w:val="4"/>
          </w:tcPr>
          <w:p>
            <w:pPr>
              <w:ind w:left="60"/>
              <w:spacing w:after="0" w:line="136" w:lineRule="exact"/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5"/>
                  <w:szCs w:val="15"/>
                  <w:color w:val="0000EE"/>
                </w:rPr>
                <w:t xml:space="preserve">LIQUIDMETAL TECHNOLOGIES INC </w:t>
              </w:r>
            </w:hyperlink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00"/>
              </w:rPr>
              <w:t>[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38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 xml:space="preserve">LQMT 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3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Date of Earliest Transaction (Month/Day/Year)</w:t>
            </w: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3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03/12/2025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3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8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3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8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1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4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40" w:type="dxa"/>
            <w:vAlign w:val="bottom"/>
            <w:gridSpan w:val="2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4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40" w:type="dxa"/>
            <w:vAlign w:val="bottom"/>
            <w:gridSpan w:val="2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4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 of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and 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3,000,000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0.04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jc w:val="right"/>
              <w:ind w:right="163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03/12/2025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3,000,000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03/12/2035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9"/>
              </w:rPr>
              <w:t>Par</w:t>
            </w: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3,000,000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1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(right-to-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7"/>
              </w:rPr>
              <w:t>Value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buy)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$0.001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200,000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0.09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12/15/2031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9"/>
              </w:rPr>
              <w:t>Par</w:t>
            </w: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200,000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1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(right-to-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7"/>
              </w:rPr>
              <w:t>Value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buy)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$0.001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700,000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0.13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05/04/2026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9"/>
              </w:rPr>
              <w:t>Par</w:t>
            </w: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700,000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1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(right-to-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7"/>
              </w:rPr>
              <w:t>Value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buy)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$0.001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10,066,809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Liquidmetals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0.07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03/10/2016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03/10/2026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9"/>
              </w:rPr>
              <w:t>Par</w:t>
            </w: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10,066,809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8"/>
              </w:rPr>
              <w:t>I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6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Purchase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Technology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Warrant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7"/>
              </w:rPr>
              <w:t>Value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Limited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8000"/>
                <w:vertAlign w:val="superscript"/>
              </w:rPr>
              <w:t>(4)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$0.001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 w:right="200" w:hanging="5"/>
        <w:spacing w:after="0" w:line="273" w:lineRule="auto"/>
        <w:tabs>
          <w:tab w:leader="none" w:pos="16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The shares covered by the Option shall vest 33.33% on the first year anniversary date from the date of grant. Thereafter, the shares covered by the Option shall vest monthly over 24 months with the Option being 100% vested on the third anniversary of the date of grant.</w:t>
      </w:r>
    </w:p>
    <w:p>
      <w:pPr>
        <w:spacing w:after="0" w:line="6" w:lineRule="exact"/>
        <w:rPr>
          <w:rFonts w:ascii="Times New Roman" w:cs="Times New Roman" w:eastAsia="Times New Roman" w:hAnsi="Times New Roman"/>
          <w:sz w:val="12"/>
          <w:szCs w:val="12"/>
          <w:color w:val="008000"/>
        </w:rPr>
      </w:pPr>
    </w:p>
    <w:p>
      <w:pPr>
        <w:ind w:left="40" w:right="220" w:hanging="5"/>
        <w:spacing w:after="0" w:line="273" w:lineRule="auto"/>
        <w:tabs>
          <w:tab w:leader="none" w:pos="16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Represents an option granted under the Company's 2015 Equity Incentive Plan. The shares covered by the option vest monthly over three years with the option being 100% vested on the third anniversary of the date of grant.</w:t>
      </w:r>
    </w:p>
    <w:p>
      <w:pPr>
        <w:spacing w:after="0" w:line="6" w:lineRule="exact"/>
        <w:rPr>
          <w:rFonts w:ascii="Times New Roman" w:cs="Times New Roman" w:eastAsia="Times New Roman" w:hAnsi="Times New Roman"/>
          <w:sz w:val="12"/>
          <w:szCs w:val="12"/>
          <w:color w:val="008000"/>
        </w:rPr>
      </w:pPr>
    </w:p>
    <w:p>
      <w:pPr>
        <w:ind w:left="40" w:right="300" w:hanging="5"/>
        <w:spacing w:after="0" w:line="273" w:lineRule="auto"/>
        <w:tabs>
          <w:tab w:leader="none" w:pos="16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Represents an option granted under the Company's 2015 Equity Incentive Plan. The shares covered by the option vested 20% on the first year anniversary date from the date of grant. Thereafter, the shares covered by the option vested monthly over 4 years with the option being 100% vested on the fifth anniversary of the date of grant.</w:t>
      </w:r>
    </w:p>
    <w:p>
      <w:pPr>
        <w:spacing w:after="0" w:line="6" w:lineRule="exact"/>
        <w:rPr>
          <w:rFonts w:ascii="Times New Roman" w:cs="Times New Roman" w:eastAsia="Times New Roman" w:hAnsi="Times New Roman"/>
          <w:sz w:val="12"/>
          <w:szCs w:val="12"/>
          <w:color w:val="008000"/>
        </w:rPr>
      </w:pPr>
    </w:p>
    <w:p>
      <w:pPr>
        <w:ind w:left="160" w:hanging="125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Liquidmetal Technology Limited holds such common stock purchase warrant. Mr. Li is the sole shareholder, executive officer and director of Liquidmetal Technology Limited.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8"/>
              </w:rPr>
              <w:t>/s/ Tony Chung, as Attorney-in-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8"/>
              </w:rPr>
              <w:t>03/14/2025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1860" w:type="dxa"/>
            <w:vAlign w:val="bottom"/>
            <w:vMerge w:val="restart"/>
          </w:tcPr>
          <w:p>
            <w:pPr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7"/>
              </w:rPr>
              <w:t>Fact for Yeung Tak Lugee Li</w:t>
            </w:r>
          </w:p>
        </w:tc>
        <w:tc>
          <w:tcPr>
            <w:tcW w:w="3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18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Reminder: Report on a separate line for each class of securities beneficially owned directly or indirectly.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4 (b)(v).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jc w:val="both"/>
        <w:ind w:left="40" w:right="3940" w:hanging="5"/>
        <w:spacing w:after="0" w:line="321" w:lineRule="auto"/>
        <w:tabs>
          <w:tab w:leader="none" w:pos="17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3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668760" TargetMode="External"/><Relationship Id="rId14" Type="http://schemas.openxmlformats.org/officeDocument/2006/relationships/hyperlink" Target="http://www.sec.gov/cgi-bin/browse-edgar?action=getcompany&amp;CIK=000114124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2025-03-14T17:06:40Z</dcterms:created>
  <dcterms:modified xsi:type="dcterms:W3CDTF">2025-03-14T17:06:40Z</dcterms:modified>
</cp:coreProperties>
</file>