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44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1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16"/>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4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5411470</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4075430</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-1775460</wp:posOffset>
            </wp:positionH>
            <wp:positionV relativeFrom="paragraph">
              <wp:posOffset>15875</wp:posOffset>
            </wp:positionV>
            <wp:extent cx="7325995" cy="6466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646684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520"/>
            <w:col w:w="8740"/>
          </w:cols>
          <w:pgMar w:left="240" w:top="221" w:right="13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Lugee Li Yeung Tak</w:t>
        </w:r>
      </w:hyperlink>
    </w:p>
    <w:p>
      <w:pPr>
        <w:spacing w:after="0" w:line="303"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1500" w:type="dxa"/>
            <w:vAlign w:val="bottom"/>
          </w:tcPr>
          <w:p>
            <w:pPr>
              <w:ind w:left="24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r>
      <w:tr>
        <w:trPr>
          <w:trHeight w:val="270"/>
        </w:trPr>
        <w:tc>
          <w:tcPr>
            <w:tcW w:w="20" w:type="dxa"/>
            <w:vAlign w:val="bottom"/>
          </w:tcPr>
          <w:p>
            <w:pPr>
              <w:spacing w:after="0"/>
              <w:rPr>
                <w:sz w:val="23"/>
                <w:szCs w:val="23"/>
                <w:color w:val="auto"/>
              </w:rPr>
            </w:pPr>
          </w:p>
        </w:tc>
        <w:tc>
          <w:tcPr>
            <w:tcW w:w="2560" w:type="dxa"/>
            <w:vAlign w:val="bottom"/>
            <w:gridSpan w:val="2"/>
          </w:tcPr>
          <w:p>
            <w:pPr>
              <w:ind w:left="20"/>
              <w:spacing w:after="0"/>
              <w:rPr>
                <w:sz w:val="20"/>
                <w:szCs w:val="20"/>
                <w:color w:val="auto"/>
              </w:rPr>
            </w:pPr>
            <w:r>
              <w:rPr>
                <w:rFonts w:ascii="Arial" w:cs="Arial" w:eastAsia="Arial" w:hAnsi="Arial"/>
                <w:sz w:val="17"/>
                <w:szCs w:val="17"/>
                <w:color w:val="0000FF"/>
                <w:w w:val="96"/>
              </w:rPr>
              <w:t>ROOM 906, TAI TUNG BUILDING</w:t>
            </w:r>
          </w:p>
        </w:tc>
        <w:tc>
          <w:tcPr>
            <w:tcW w:w="126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560" w:type="dxa"/>
            <w:vAlign w:val="bottom"/>
            <w:gridSpan w:val="2"/>
          </w:tcPr>
          <w:p>
            <w:pPr>
              <w:ind w:left="20"/>
              <w:spacing w:after="0"/>
              <w:rPr>
                <w:sz w:val="20"/>
                <w:szCs w:val="20"/>
                <w:color w:val="auto"/>
              </w:rPr>
            </w:pPr>
            <w:r>
              <w:rPr>
                <w:rFonts w:ascii="Arial" w:cs="Arial" w:eastAsia="Arial" w:hAnsi="Arial"/>
                <w:sz w:val="17"/>
                <w:szCs w:val="17"/>
                <w:color w:val="0000FF"/>
              </w:rPr>
              <w:t>8 FLEMING ROAD</w:t>
            </w:r>
          </w:p>
        </w:tc>
        <w:tc>
          <w:tcPr>
            <w:tcW w:w="126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r>
      <w:tr>
        <w:trPr>
          <w:trHeight w:val="25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1"/>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WANCHAI</w:t>
            </w:r>
          </w:p>
        </w:tc>
        <w:tc>
          <w:tcPr>
            <w:tcW w:w="1500" w:type="dxa"/>
            <w:vAlign w:val="bottom"/>
          </w:tcPr>
          <w:p>
            <w:pPr>
              <w:ind w:left="240"/>
              <w:spacing w:after="0"/>
              <w:rPr>
                <w:sz w:val="20"/>
                <w:szCs w:val="20"/>
                <w:color w:val="auto"/>
              </w:rPr>
            </w:pPr>
            <w:r>
              <w:rPr>
                <w:rFonts w:ascii="Arial" w:cs="Arial" w:eastAsia="Arial" w:hAnsi="Arial"/>
                <w:sz w:val="17"/>
                <w:szCs w:val="17"/>
                <w:color w:val="0000FF"/>
              </w:rPr>
              <w:t>K3</w:t>
            </w:r>
          </w:p>
        </w:tc>
        <w:tc>
          <w:tcPr>
            <w:tcW w:w="1260" w:type="dxa"/>
            <w:vAlign w:val="bottom"/>
          </w:tcPr>
          <w:p>
            <w:pPr>
              <w:ind w:left="20"/>
              <w:spacing w:after="0"/>
              <w:rPr>
                <w:sz w:val="20"/>
                <w:szCs w:val="20"/>
                <w:color w:val="auto"/>
              </w:rPr>
            </w:pPr>
            <w:r>
              <w:rPr>
                <w:rFonts w:ascii="Arial" w:cs="Arial" w:eastAsia="Arial" w:hAnsi="Arial"/>
                <w:sz w:val="17"/>
                <w:szCs w:val="17"/>
                <w:color w:val="0000FF"/>
              </w:rPr>
              <w:t>999077</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500" w:type="dxa"/>
            <w:vAlign w:val="bottom"/>
          </w:tcPr>
          <w:p>
            <w:pPr>
              <w:ind w:left="240"/>
              <w:spacing w:after="0"/>
              <w:rPr>
                <w:sz w:val="20"/>
                <w:szCs w:val="20"/>
                <w:color w:val="auto"/>
              </w:rPr>
            </w:pPr>
            <w:r>
              <w:rPr>
                <w:rFonts w:ascii="Arial" w:cs="Arial" w:eastAsia="Arial" w:hAnsi="Arial"/>
                <w:sz w:val="13"/>
                <w:szCs w:val="13"/>
                <w:color w:val="auto"/>
              </w:rPr>
              <w:t>(State)</w:t>
            </w:r>
          </w:p>
        </w:tc>
        <w:tc>
          <w:tcPr>
            <w:tcW w:w="1260" w:type="dxa"/>
            <w:vAlign w:val="bottom"/>
          </w:tcPr>
          <w:p>
            <w:pPr>
              <w:ind w:left="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9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3940" w:type="dxa"/>
            <w:vAlign w:val="bottom"/>
            <w:gridSpan w:val="2"/>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LIQUIDMETAL TECHNOLOGIES INC </w:t>
              </w:r>
            </w:hyperlink>
            <w:r>
              <w:rPr>
                <w:rFonts w:ascii="Arial" w:cs="Arial" w:eastAsia="Arial" w:hAnsi="Arial"/>
                <w:sz w:val="15"/>
                <w:szCs w:val="15"/>
                <w:color w:val="000000"/>
              </w:rPr>
              <w:t>[</w:t>
            </w:r>
          </w:p>
        </w:tc>
        <w:tc>
          <w:tcPr>
            <w:tcW w:w="17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3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72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3940" w:type="dxa"/>
            <w:vAlign w:val="bottom"/>
            <w:gridSpan w:val="2"/>
          </w:tcPr>
          <w:p>
            <w:pPr>
              <w:spacing w:after="0"/>
              <w:rPr>
                <w:sz w:val="3"/>
                <w:szCs w:val="3"/>
                <w:color w:val="auto"/>
              </w:rPr>
            </w:pPr>
          </w:p>
        </w:tc>
        <w:tc>
          <w:tcPr>
            <w:tcW w:w="500" w:type="dxa"/>
            <w:vAlign w:val="bottom"/>
            <w:vMerge w:val="restart"/>
          </w:tcPr>
          <w:p>
            <w:pPr>
              <w:ind w:left="260"/>
              <w:spacing w:after="0" w:line="53" w:lineRule="exact"/>
              <w:rPr>
                <w:sz w:val="20"/>
                <w:szCs w:val="20"/>
                <w:color w:val="auto"/>
              </w:rPr>
            </w:pPr>
            <w:r>
              <w:rPr>
                <w:rFonts w:ascii="Arial" w:cs="Arial" w:eastAsia="Arial" w:hAnsi="Arial"/>
                <w:sz w:val="6"/>
                <w:szCs w:val="6"/>
                <w:color w:val="0000FF"/>
              </w:rPr>
              <w:t>X</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00" w:type="dxa"/>
            <w:vAlign w:val="bottom"/>
            <w:vMerge w:val="restart"/>
          </w:tcPr>
          <w:p>
            <w:pPr>
              <w:ind w:left="180"/>
              <w:spacing w:after="0" w:line="53" w:lineRule="exact"/>
              <w:rPr>
                <w:sz w:val="20"/>
                <w:szCs w:val="20"/>
                <w:color w:val="auto"/>
              </w:rPr>
            </w:pPr>
            <w:r>
              <w:rPr>
                <w:rFonts w:ascii="Arial" w:cs="Arial" w:eastAsia="Arial" w:hAnsi="Arial"/>
                <w:sz w:val="6"/>
                <w:szCs w:val="6"/>
                <w:color w:val="0000FF"/>
              </w:rPr>
              <w:t>X</w:t>
            </w:r>
          </w:p>
        </w:tc>
        <w:tc>
          <w:tcPr>
            <w:tcW w:w="1300" w:type="dxa"/>
            <w:vAlign w:val="bottom"/>
            <w:vMerge w:val="restart"/>
          </w:tcPr>
          <w:p>
            <w:pPr>
              <w:ind w:left="1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60" w:type="dxa"/>
            <w:vAlign w:val="bottom"/>
          </w:tcPr>
          <w:p>
            <w:pPr>
              <w:spacing w:after="0" w:line="20" w:lineRule="exact"/>
              <w:rPr>
                <w:sz w:val="1"/>
                <w:szCs w:val="1"/>
                <w:color w:val="auto"/>
              </w:rPr>
            </w:pPr>
          </w:p>
        </w:tc>
        <w:tc>
          <w:tcPr>
            <w:tcW w:w="344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LQMT </w:t>
              </w:r>
              <w:r>
                <w:rPr>
                  <w:rFonts w:ascii="Arial" w:cs="Arial" w:eastAsia="Arial" w:hAnsi="Arial"/>
                  <w:sz w:val="1"/>
                  <w:szCs w:val="1"/>
                  <w:color w:val="000000"/>
                </w:rPr>
                <w:t>]</w:t>
              </w:r>
            </w:hyperlink>
          </w:p>
        </w:tc>
        <w:tc>
          <w:tcPr>
            <w:tcW w:w="50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19"/>
                <w:szCs w:val="19"/>
                <w:color w:val="auto"/>
              </w:rPr>
            </w:pPr>
          </w:p>
        </w:tc>
        <w:tc>
          <w:tcPr>
            <w:tcW w:w="1300" w:type="dxa"/>
            <w:vAlign w:val="bottom"/>
          </w:tcPr>
          <w:p>
            <w:pPr>
              <w:ind w:left="1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20" w:type="dxa"/>
            <w:vAlign w:val="bottom"/>
          </w:tcPr>
          <w:p>
            <w:pPr>
              <w:ind w:left="100"/>
              <w:spacing w:after="0"/>
              <w:rPr>
                <w:sz w:val="20"/>
                <w:szCs w:val="20"/>
                <w:color w:val="auto"/>
              </w:rPr>
            </w:pPr>
            <w:r>
              <w:rPr>
                <w:rFonts w:ascii="Arial" w:cs="Arial" w:eastAsia="Arial" w:hAnsi="Arial"/>
                <w:sz w:val="13"/>
                <w:szCs w:val="13"/>
                <w:color w:val="auto"/>
              </w:rPr>
              <w:t>below)</w:t>
            </w:r>
          </w:p>
        </w:tc>
        <w:tc>
          <w:tcPr>
            <w:tcW w:w="400" w:type="dxa"/>
            <w:vAlign w:val="bottom"/>
          </w:tcPr>
          <w:p>
            <w:pPr>
              <w:spacing w:after="0"/>
              <w:rPr>
                <w:sz w:val="13"/>
                <w:szCs w:val="13"/>
                <w:color w:val="auto"/>
              </w:rPr>
            </w:pPr>
          </w:p>
        </w:tc>
        <w:tc>
          <w:tcPr>
            <w:tcW w:w="1300" w:type="dxa"/>
            <w:vAlign w:val="bottom"/>
          </w:tcPr>
          <w:p>
            <w:pPr>
              <w:ind w:left="1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60" w:type="dxa"/>
            <w:vAlign w:val="bottom"/>
            <w:tcBorders>
              <w:bottom w:val="single" w:sz="8" w:color="2C2C2C"/>
            </w:tcBorders>
          </w:tcPr>
          <w:p>
            <w:pPr>
              <w:spacing w:after="0"/>
              <w:rPr>
                <w:sz w:val="6"/>
                <w:szCs w:val="6"/>
                <w:color w:val="auto"/>
              </w:rPr>
            </w:pPr>
          </w:p>
        </w:tc>
        <w:tc>
          <w:tcPr>
            <w:tcW w:w="34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39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500" w:type="dxa"/>
            <w:vAlign w:val="bottom"/>
            <w:gridSpan w:val="2"/>
          </w:tcPr>
          <w:p>
            <w:pPr>
              <w:ind w:left="60"/>
              <w:spacing w:after="0"/>
              <w:rPr>
                <w:sz w:val="20"/>
                <w:szCs w:val="20"/>
                <w:color w:val="auto"/>
              </w:rPr>
            </w:pPr>
            <w:r>
              <w:rPr>
                <w:rFonts w:ascii="Arial" w:cs="Arial" w:eastAsia="Arial" w:hAnsi="Arial"/>
                <w:sz w:val="17"/>
                <w:szCs w:val="17"/>
                <w:color w:val="0000FF"/>
              </w:rPr>
              <w:t>05/04/2016</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0" w:type="dxa"/>
            <w:vAlign w:val="bottom"/>
            <w:tcBorders>
              <w:bottom w:val="single" w:sz="8" w:color="2C2C2C"/>
            </w:tcBorders>
          </w:tcPr>
          <w:p>
            <w:pPr>
              <w:spacing w:after="0"/>
              <w:rPr>
                <w:sz w:val="20"/>
                <w:szCs w:val="20"/>
                <w:color w:val="auto"/>
              </w:rPr>
            </w:pPr>
          </w:p>
        </w:tc>
        <w:tc>
          <w:tcPr>
            <w:tcW w:w="344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9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4"/>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20" w:type="dxa"/>
            <w:vAlign w:val="bottom"/>
            <w:gridSpan w:val="4"/>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20" w:type="dxa"/>
            <w:vAlign w:val="bottom"/>
            <w:gridSpan w:val="3"/>
          </w:tcPr>
          <w:p>
            <w:pPr>
              <w:ind w:left="12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bl>
    <w:p>
      <w:pPr>
        <w:spacing w:after="0" w:line="460" w:lineRule="exact"/>
        <w:rPr>
          <w:sz w:val="20"/>
          <w:szCs w:val="20"/>
          <w:color w:val="auto"/>
        </w:rPr>
      </w:pPr>
    </w:p>
    <w:p>
      <w:pPr>
        <w:sectPr>
          <w:pgSz w:w="11900" w:h="16838" w:orient="portrait"/>
          <w:cols w:equalWidth="0" w:num="2">
            <w:col w:w="3920" w:space="80"/>
            <w:col w:w="7520"/>
          </w:cols>
          <w:pgMar w:left="240" w:top="221"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60" w:type="dxa"/>
            <w:vAlign w:val="bottom"/>
          </w:tcPr>
          <w:p>
            <w:pPr>
              <w:spacing w:after="0"/>
              <w:rPr>
                <w:sz w:val="13"/>
                <w:szCs w:val="13"/>
                <w:color w:val="auto"/>
              </w:rPr>
            </w:pP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3"/>
                <w:szCs w:val="13"/>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w w:val="95"/>
              </w:rPr>
              <w:t>5. Amount of</w:t>
            </w:r>
          </w:p>
        </w:tc>
        <w:tc>
          <w:tcPr>
            <w:tcW w:w="1360" w:type="dxa"/>
            <w:vAlign w:val="bottom"/>
            <w:gridSpan w:val="2"/>
          </w:tcPr>
          <w:p>
            <w:pPr>
              <w:ind w:left="46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2160" w:type="dxa"/>
            <w:vAlign w:val="bottom"/>
            <w:gridSpan w:val="5"/>
          </w:tcPr>
          <w:p>
            <w:pPr>
              <w:ind w:left="12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0"/>
                <w:szCs w:val="10"/>
                <w:color w:val="auto"/>
              </w:rPr>
            </w:pPr>
          </w:p>
        </w:tc>
        <w:tc>
          <w:tcPr>
            <w:tcW w:w="76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Securities</w:t>
            </w:r>
          </w:p>
        </w:tc>
        <w:tc>
          <w:tcPr>
            <w:tcW w:w="1360" w:type="dxa"/>
            <w:vAlign w:val="bottom"/>
            <w:gridSpan w:val="2"/>
          </w:tcPr>
          <w:p>
            <w:pPr>
              <w:ind w:left="460"/>
              <w:spacing w:after="0" w:line="126"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1360" w:type="dxa"/>
            <w:vAlign w:val="bottom"/>
            <w:gridSpan w:val="2"/>
          </w:tcPr>
          <w:p>
            <w:pPr>
              <w:ind w:left="460"/>
              <w:spacing w:after="0" w:line="129"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Owned Following    (I) (Instr. 4)</w:t>
            </w:r>
          </w:p>
        </w:tc>
        <w:tc>
          <w:tcPr>
            <w:tcW w:w="10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60" w:type="dxa"/>
            <w:vAlign w:val="bottom"/>
            <w:vMerge w:val="restart"/>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60" w:type="dxa"/>
            <w:vAlign w:val="bottom"/>
            <w:gridSpan w:val="3"/>
            <w:vMerge w:val="restart"/>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3"/>
          </w:tcPr>
          <w:p>
            <w:pPr>
              <w:ind w:left="420"/>
              <w:spacing w:after="0" w:line="129" w:lineRule="exact"/>
              <w:rPr>
                <w:sz w:val="20"/>
                <w:szCs w:val="20"/>
                <w:color w:val="auto"/>
              </w:rPr>
            </w:pPr>
            <w:r>
              <w:rPr>
                <w:rFonts w:ascii="Arial" w:cs="Arial" w:eastAsia="Arial" w:hAnsi="Arial"/>
                <w:sz w:val="12"/>
                <w:szCs w:val="12"/>
                <w:b w:val="1"/>
                <w:bCs w:val="1"/>
                <w:color w:val="auto"/>
                <w:w w:val="99"/>
              </w:rPr>
              <w:t>(A) or</w:t>
            </w:r>
          </w:p>
        </w:tc>
        <w:tc>
          <w:tcPr>
            <w:tcW w:w="740" w:type="dxa"/>
            <w:vAlign w:val="bottom"/>
            <w:vMerge w:val="restart"/>
          </w:tcPr>
          <w:p>
            <w:pPr>
              <w:jc w:val="right"/>
              <w:ind w:right="203"/>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80" w:type="dxa"/>
            <w:vAlign w:val="bottom"/>
            <w:gridSpan w:val="2"/>
            <w:vMerge w:val="restart"/>
          </w:tcPr>
          <w:p>
            <w:pPr>
              <w:ind w:left="420"/>
              <w:spacing w:after="0"/>
              <w:rPr>
                <w:sz w:val="20"/>
                <w:szCs w:val="20"/>
                <w:color w:val="auto"/>
              </w:rPr>
            </w:pPr>
            <w:r>
              <w:rPr>
                <w:rFonts w:ascii="Arial" w:cs="Arial" w:eastAsia="Arial" w:hAnsi="Arial"/>
                <w:sz w:val="12"/>
                <w:szCs w:val="12"/>
                <w:b w:val="1"/>
                <w:bCs w:val="1"/>
                <w:color w:val="auto"/>
              </w:rPr>
              <w:t>(D)</w:t>
            </w:r>
          </w:p>
        </w:tc>
        <w:tc>
          <w:tcPr>
            <w:tcW w:w="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ind w:left="60"/>
              <w:spacing w:after="0"/>
              <w:rPr>
                <w:sz w:val="20"/>
                <w:szCs w:val="20"/>
                <w:color w:val="auto"/>
              </w:rPr>
            </w:pPr>
            <w:r>
              <w:rPr>
                <w:rFonts w:ascii="Arial" w:cs="Arial" w:eastAsia="Arial" w:hAnsi="Arial"/>
                <w:sz w:val="17"/>
                <w:szCs w:val="17"/>
                <w:color w:val="0000FF"/>
              </w:rPr>
              <w:t>By</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7"/>
              </w:rPr>
              <w:t>Common Stock, $0.001 par value per share</w:t>
            </w:r>
          </w:p>
        </w:tc>
        <w:tc>
          <w:tcPr>
            <w:tcW w:w="1060" w:type="dxa"/>
            <w:vAlign w:val="bottom"/>
            <w:gridSpan w:val="2"/>
            <w:vMerge w:val="restart"/>
          </w:tcPr>
          <w:p>
            <w:pPr>
              <w:jc w:val="right"/>
              <w:ind w:right="141"/>
              <w:spacing w:after="0"/>
              <w:rPr>
                <w:sz w:val="20"/>
                <w:szCs w:val="20"/>
                <w:color w:val="auto"/>
              </w:rPr>
            </w:pPr>
            <w:r>
              <w:rPr>
                <w:rFonts w:ascii="Arial" w:cs="Arial" w:eastAsia="Arial" w:hAnsi="Arial"/>
                <w:sz w:val="17"/>
                <w:szCs w:val="17"/>
                <w:color w:val="0000FF"/>
                <w:w w:val="98"/>
              </w:rPr>
              <w:t>10/26/2016</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1180" w:type="dxa"/>
            <w:vAlign w:val="bottom"/>
            <w:gridSpan w:val="2"/>
            <w:vMerge w:val="restart"/>
          </w:tcPr>
          <w:p>
            <w:pPr>
              <w:ind w:left="120"/>
              <w:spacing w:after="0"/>
              <w:rPr>
                <w:sz w:val="20"/>
                <w:szCs w:val="20"/>
                <w:color w:val="auto"/>
              </w:rPr>
            </w:pPr>
            <w:r>
              <w:rPr>
                <w:rFonts w:ascii="Arial" w:cs="Arial" w:eastAsia="Arial" w:hAnsi="Arial"/>
                <w:sz w:val="17"/>
                <w:szCs w:val="17"/>
                <w:color w:val="0000FF"/>
              </w:rPr>
              <w:t>100,000,000</w:t>
            </w:r>
          </w:p>
        </w:tc>
        <w:tc>
          <w:tcPr>
            <w:tcW w:w="160" w:type="dxa"/>
            <w:vAlign w:val="bottom"/>
            <w:vMerge w:val="restart"/>
          </w:tcPr>
          <w:p>
            <w:pPr>
              <w:ind w:left="40"/>
              <w:spacing w:after="0"/>
              <w:rPr>
                <w:sz w:val="20"/>
                <w:szCs w:val="20"/>
                <w:color w:val="auto"/>
              </w:rPr>
            </w:pPr>
            <w:r>
              <w:rPr>
                <w:rFonts w:ascii="Arial" w:cs="Arial" w:eastAsia="Arial" w:hAnsi="Arial"/>
                <w:sz w:val="17"/>
                <w:szCs w:val="17"/>
                <w:color w:val="0000FF"/>
                <w:w w:val="87"/>
              </w:rPr>
              <w:t>A</w:t>
            </w:r>
          </w:p>
        </w:tc>
        <w:tc>
          <w:tcPr>
            <w:tcW w:w="80" w:type="dxa"/>
            <w:vAlign w:val="bottom"/>
          </w:tcPr>
          <w:p>
            <w:pPr>
              <w:spacing w:after="0"/>
              <w:rPr>
                <w:sz w:val="17"/>
                <w:szCs w:val="17"/>
                <w:color w:val="auto"/>
              </w:rPr>
            </w:pPr>
          </w:p>
        </w:tc>
        <w:tc>
          <w:tcPr>
            <w:tcW w:w="740" w:type="dxa"/>
            <w:vAlign w:val="bottom"/>
            <w:vMerge w:val="restart"/>
          </w:tcPr>
          <w:p>
            <w:pPr>
              <w:jc w:val="right"/>
              <w:ind w:right="4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0.25</w:t>
            </w:r>
          </w:p>
        </w:tc>
        <w:tc>
          <w:tcPr>
            <w:tcW w:w="1580" w:type="dxa"/>
            <w:vAlign w:val="bottom"/>
            <w:gridSpan w:val="3"/>
            <w:vMerge w:val="restart"/>
          </w:tcPr>
          <w:p>
            <w:pPr>
              <w:jc w:val="center"/>
              <w:ind w:right="361"/>
              <w:spacing w:after="0"/>
              <w:rPr>
                <w:sz w:val="20"/>
                <w:szCs w:val="20"/>
                <w:color w:val="auto"/>
              </w:rPr>
            </w:pPr>
            <w:r>
              <w:rPr>
                <w:rFonts w:ascii="Arial" w:cs="Arial" w:eastAsia="Arial" w:hAnsi="Arial"/>
                <w:sz w:val="17"/>
                <w:szCs w:val="17"/>
                <w:color w:val="0000FF"/>
                <w:w w:val="88"/>
              </w:rPr>
              <w:t>205,000,000</w:t>
            </w:r>
          </w:p>
        </w:tc>
        <w:tc>
          <w:tcPr>
            <w:tcW w:w="560" w:type="dxa"/>
            <w:vAlign w:val="bottom"/>
            <w:vMerge w:val="restart"/>
          </w:tcPr>
          <w:p>
            <w:pPr>
              <w:jc w:val="center"/>
              <w:ind w:right="334"/>
              <w:spacing w:after="0"/>
              <w:rPr>
                <w:sz w:val="20"/>
                <w:szCs w:val="20"/>
                <w:color w:val="auto"/>
              </w:rPr>
            </w:pPr>
            <w:r>
              <w:rPr>
                <w:rFonts w:ascii="Arial" w:cs="Arial" w:eastAsia="Arial" w:hAnsi="Arial"/>
                <w:sz w:val="17"/>
                <w:szCs w:val="17"/>
                <w:color w:val="0000FF"/>
                <w:w w:val="83"/>
              </w:rPr>
              <w:t>I</w:t>
            </w:r>
          </w:p>
        </w:tc>
        <w:tc>
          <w:tcPr>
            <w:tcW w:w="1060" w:type="dxa"/>
            <w:vAlign w:val="bottom"/>
            <w:gridSpan w:val="3"/>
          </w:tcPr>
          <w:p>
            <w:pPr>
              <w:ind w:left="60"/>
              <w:spacing w:after="0"/>
              <w:rPr>
                <w:sz w:val="20"/>
                <w:szCs w:val="20"/>
                <w:color w:val="auto"/>
              </w:rPr>
            </w:pPr>
            <w:r>
              <w:rPr>
                <w:rFonts w:ascii="Arial" w:cs="Arial" w:eastAsia="Arial" w:hAnsi="Arial"/>
                <w:sz w:val="17"/>
                <w:szCs w:val="17"/>
                <w:color w:val="0000FF"/>
              </w:rPr>
              <w:t>Liquidmetal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300" w:type="dxa"/>
            <w:vAlign w:val="bottom"/>
            <w:gridSpan w:val="4"/>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7"/>
                <w:szCs w:val="17"/>
                <w:color w:val="0000FF"/>
              </w:rPr>
              <w:t>Technology</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60" w:type="dxa"/>
            <w:vAlign w:val="bottom"/>
            <w:gridSpan w:val="3"/>
          </w:tcPr>
          <w:p>
            <w:pPr>
              <w:ind w:left="60"/>
              <w:spacing w:after="0"/>
              <w:rPr>
                <w:sz w:val="20"/>
                <w:szCs w:val="20"/>
                <w:color w:val="auto"/>
              </w:rPr>
            </w:pPr>
            <w:r>
              <w:rPr>
                <w:rFonts w:ascii="Arial" w:cs="Arial" w:eastAsia="Arial" w:hAnsi="Arial"/>
                <w:sz w:val="17"/>
                <w:szCs w:val="17"/>
                <w:color w:val="0000FF"/>
              </w:rPr>
              <w:t>Limited</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By</w:t>
            </w:r>
          </w:p>
        </w:tc>
        <w:tc>
          <w:tcPr>
            <w:tcW w:w="680" w:type="dxa"/>
            <w:vAlign w:val="bottom"/>
            <w:tcBorders>
              <w:top w:val="single" w:sz="8" w:color="2C2C2C"/>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7"/>
              </w:rPr>
              <w:t>Common Stock, $0.001 par value per share</w:t>
            </w:r>
          </w:p>
        </w:tc>
        <w:tc>
          <w:tcPr>
            <w:tcW w:w="1060" w:type="dxa"/>
            <w:vAlign w:val="bottom"/>
            <w:gridSpan w:val="2"/>
            <w:vMerge w:val="restart"/>
          </w:tcPr>
          <w:p>
            <w:pPr>
              <w:jc w:val="right"/>
              <w:ind w:right="141"/>
              <w:spacing w:after="0"/>
              <w:rPr>
                <w:sz w:val="20"/>
                <w:szCs w:val="20"/>
                <w:color w:val="auto"/>
              </w:rPr>
            </w:pPr>
            <w:r>
              <w:rPr>
                <w:rFonts w:ascii="Arial" w:cs="Arial" w:eastAsia="Arial" w:hAnsi="Arial"/>
                <w:sz w:val="17"/>
                <w:szCs w:val="17"/>
                <w:color w:val="0000FF"/>
                <w:w w:val="98"/>
              </w:rPr>
              <w:t>10/26/2016</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1180" w:type="dxa"/>
            <w:vAlign w:val="bottom"/>
            <w:gridSpan w:val="2"/>
            <w:vMerge w:val="restart"/>
          </w:tcPr>
          <w:p>
            <w:pPr>
              <w:ind w:left="120"/>
              <w:spacing w:after="0"/>
              <w:rPr>
                <w:sz w:val="20"/>
                <w:szCs w:val="20"/>
                <w:color w:val="auto"/>
              </w:rPr>
            </w:pPr>
            <w:r>
              <w:rPr>
                <w:rFonts w:ascii="Arial" w:cs="Arial" w:eastAsia="Arial" w:hAnsi="Arial"/>
                <w:sz w:val="17"/>
                <w:szCs w:val="17"/>
                <w:color w:val="0000FF"/>
              </w:rPr>
              <w:t>200,000,000</w:t>
            </w:r>
          </w:p>
        </w:tc>
        <w:tc>
          <w:tcPr>
            <w:tcW w:w="160" w:type="dxa"/>
            <w:vAlign w:val="bottom"/>
            <w:vMerge w:val="restart"/>
          </w:tcPr>
          <w:p>
            <w:pPr>
              <w:ind w:left="40"/>
              <w:spacing w:after="0"/>
              <w:rPr>
                <w:sz w:val="20"/>
                <w:szCs w:val="20"/>
                <w:color w:val="auto"/>
              </w:rPr>
            </w:pPr>
            <w:r>
              <w:rPr>
                <w:rFonts w:ascii="Arial" w:cs="Arial" w:eastAsia="Arial" w:hAnsi="Arial"/>
                <w:sz w:val="17"/>
                <w:szCs w:val="17"/>
                <w:color w:val="0000FF"/>
                <w:w w:val="87"/>
              </w:rPr>
              <w:t>A</w:t>
            </w:r>
          </w:p>
        </w:tc>
        <w:tc>
          <w:tcPr>
            <w:tcW w:w="80" w:type="dxa"/>
            <w:vAlign w:val="bottom"/>
          </w:tcPr>
          <w:p>
            <w:pPr>
              <w:spacing w:after="0"/>
              <w:rPr>
                <w:sz w:val="17"/>
                <w:szCs w:val="17"/>
                <w:color w:val="auto"/>
              </w:rPr>
            </w:pPr>
          </w:p>
        </w:tc>
        <w:tc>
          <w:tcPr>
            <w:tcW w:w="740" w:type="dxa"/>
            <w:vAlign w:val="bottom"/>
            <w:vMerge w:val="restart"/>
          </w:tcPr>
          <w:p>
            <w:pPr>
              <w:jc w:val="right"/>
              <w:ind w:right="4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0.15</w:t>
            </w:r>
          </w:p>
        </w:tc>
        <w:tc>
          <w:tcPr>
            <w:tcW w:w="1580" w:type="dxa"/>
            <w:vAlign w:val="bottom"/>
            <w:gridSpan w:val="3"/>
            <w:vMerge w:val="restart"/>
          </w:tcPr>
          <w:p>
            <w:pPr>
              <w:jc w:val="center"/>
              <w:ind w:right="361"/>
              <w:spacing w:after="0"/>
              <w:rPr>
                <w:sz w:val="20"/>
                <w:szCs w:val="20"/>
                <w:color w:val="auto"/>
              </w:rPr>
            </w:pPr>
            <w:r>
              <w:rPr>
                <w:rFonts w:ascii="Arial" w:cs="Arial" w:eastAsia="Arial" w:hAnsi="Arial"/>
                <w:sz w:val="17"/>
                <w:szCs w:val="17"/>
                <w:color w:val="0000FF"/>
                <w:w w:val="88"/>
              </w:rPr>
              <w:t>405,000,000</w:t>
            </w:r>
          </w:p>
        </w:tc>
        <w:tc>
          <w:tcPr>
            <w:tcW w:w="560" w:type="dxa"/>
            <w:vAlign w:val="bottom"/>
            <w:vMerge w:val="restart"/>
          </w:tcPr>
          <w:p>
            <w:pPr>
              <w:jc w:val="center"/>
              <w:ind w:right="334"/>
              <w:spacing w:after="0"/>
              <w:rPr>
                <w:sz w:val="20"/>
                <w:szCs w:val="20"/>
                <w:color w:val="auto"/>
              </w:rPr>
            </w:pPr>
            <w:r>
              <w:rPr>
                <w:rFonts w:ascii="Arial" w:cs="Arial" w:eastAsia="Arial" w:hAnsi="Arial"/>
                <w:sz w:val="17"/>
                <w:szCs w:val="17"/>
                <w:color w:val="0000FF"/>
                <w:w w:val="83"/>
              </w:rPr>
              <w:t>I</w:t>
            </w:r>
          </w:p>
        </w:tc>
        <w:tc>
          <w:tcPr>
            <w:tcW w:w="1060" w:type="dxa"/>
            <w:vAlign w:val="bottom"/>
            <w:gridSpan w:val="3"/>
          </w:tcPr>
          <w:p>
            <w:pPr>
              <w:ind w:left="60"/>
              <w:spacing w:after="0"/>
              <w:rPr>
                <w:sz w:val="20"/>
                <w:szCs w:val="20"/>
                <w:color w:val="auto"/>
              </w:rPr>
            </w:pPr>
            <w:r>
              <w:rPr>
                <w:rFonts w:ascii="Arial" w:cs="Arial" w:eastAsia="Arial" w:hAnsi="Arial"/>
                <w:sz w:val="17"/>
                <w:szCs w:val="17"/>
                <w:color w:val="0000FF"/>
              </w:rPr>
              <w:t>Liquidmetal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300" w:type="dxa"/>
            <w:vAlign w:val="bottom"/>
            <w:gridSpan w:val="4"/>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7"/>
                <w:szCs w:val="17"/>
                <w:color w:val="0000FF"/>
              </w:rPr>
              <w:t>Technology</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60" w:type="dxa"/>
            <w:vAlign w:val="bottom"/>
            <w:gridSpan w:val="3"/>
          </w:tcPr>
          <w:p>
            <w:pPr>
              <w:ind w:left="60"/>
              <w:spacing w:after="0"/>
              <w:rPr>
                <w:sz w:val="20"/>
                <w:szCs w:val="20"/>
                <w:color w:val="auto"/>
              </w:rPr>
            </w:pPr>
            <w:r>
              <w:rPr>
                <w:rFonts w:ascii="Arial" w:cs="Arial" w:eastAsia="Arial" w:hAnsi="Arial"/>
                <w:sz w:val="17"/>
                <w:szCs w:val="17"/>
                <w:color w:val="0000FF"/>
              </w:rPr>
              <w:t>Limited</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00" w:type="dxa"/>
            <w:vAlign w:val="bottom"/>
            <w:tcBorders>
              <w:top w:val="single" w:sz="8" w:color="2C2C2C"/>
            </w:tcBorders>
            <w:gridSpan w:val="4"/>
          </w:tcPr>
          <w:p>
            <w:pPr>
              <w:ind w:left="60"/>
              <w:spacing w:after="0"/>
              <w:rPr>
                <w:sz w:val="20"/>
                <w:szCs w:val="20"/>
                <w:color w:val="auto"/>
              </w:rPr>
            </w:pPr>
            <w:r>
              <w:rPr>
                <w:rFonts w:ascii="Arial" w:cs="Arial" w:eastAsia="Arial" w:hAnsi="Arial"/>
                <w:sz w:val="17"/>
                <w:szCs w:val="17"/>
                <w:color w:val="0000FF"/>
                <w:w w:val="97"/>
              </w:rPr>
              <w:t>Common Stock, $0.001 par value per share</w:t>
            </w:r>
          </w:p>
        </w:tc>
        <w:tc>
          <w:tcPr>
            <w:tcW w:w="34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1580" w:type="dxa"/>
            <w:vAlign w:val="bottom"/>
            <w:tcBorders>
              <w:top w:val="single" w:sz="8" w:color="2C2C2C"/>
            </w:tcBorders>
            <w:gridSpan w:val="3"/>
          </w:tcPr>
          <w:p>
            <w:pPr>
              <w:jc w:val="center"/>
              <w:ind w:right="341"/>
              <w:spacing w:after="0"/>
              <w:rPr>
                <w:sz w:val="20"/>
                <w:szCs w:val="20"/>
                <w:color w:val="auto"/>
              </w:rPr>
            </w:pPr>
            <w:r>
              <w:rPr>
                <w:rFonts w:ascii="Arial" w:cs="Arial" w:eastAsia="Arial" w:hAnsi="Arial"/>
                <w:sz w:val="17"/>
                <w:szCs w:val="17"/>
                <w:color w:val="0000FF"/>
                <w:w w:val="87"/>
              </w:rPr>
              <w:t>1,360,150</w:t>
            </w:r>
          </w:p>
        </w:tc>
        <w:tc>
          <w:tcPr>
            <w:tcW w:w="560" w:type="dxa"/>
            <w:vAlign w:val="bottom"/>
            <w:tcBorders>
              <w:top w:val="single" w:sz="8" w:color="2C2C2C"/>
            </w:tcBorders>
          </w:tcPr>
          <w:p>
            <w:pPr>
              <w:jc w:val="center"/>
              <w:ind w:right="334"/>
              <w:spacing w:after="0"/>
              <w:rPr>
                <w:sz w:val="20"/>
                <w:szCs w:val="20"/>
                <w:color w:val="auto"/>
              </w:rPr>
            </w:pPr>
            <w:r>
              <w:rPr>
                <w:rFonts w:ascii="Arial" w:cs="Arial" w:eastAsia="Arial" w:hAnsi="Arial"/>
                <w:sz w:val="17"/>
                <w:szCs w:val="17"/>
                <w:color w:val="0000FF"/>
                <w:w w:val="97"/>
              </w:rPr>
              <w:t>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gridSpan w:val="6"/>
          </w:tcPr>
          <w:p>
            <w:pPr>
              <w:spacing w:after="0"/>
              <w:rPr>
                <w:sz w:val="8"/>
                <w:szCs w:val="8"/>
                <w:color w:val="auto"/>
              </w:rPr>
            </w:pPr>
          </w:p>
        </w:tc>
        <w:tc>
          <w:tcPr>
            <w:tcW w:w="292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540" w:type="dxa"/>
            <w:vAlign w:val="bottom"/>
            <w:tcBorders>
              <w:top w:val="single" w:sz="8" w:color="2C2C2C"/>
            </w:tcBorders>
            <w:gridSpan w:val="14"/>
          </w:tcPr>
          <w:p>
            <w:pPr>
              <w:jc w:val="center"/>
              <w:ind w:right="8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80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0" w:type="dxa"/>
            <w:vAlign w:val="bottom"/>
            <w:gridSpan w:val="11"/>
          </w:tcPr>
          <w:p>
            <w:pPr>
              <w:jc w:val="center"/>
              <w:ind w:right="2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w w:val="96"/>
              </w:rPr>
              <w:t>3A. Deemed</w:t>
            </w:r>
          </w:p>
        </w:tc>
        <w:tc>
          <w:tcPr>
            <w:tcW w:w="34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50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w w:val="90"/>
              </w:rPr>
              <w:t>Derivative</w:t>
            </w:r>
          </w:p>
        </w:tc>
        <w:tc>
          <w:tcPr>
            <w:tcW w:w="280" w:type="dxa"/>
            <w:vAlign w:val="bottom"/>
          </w:tcPr>
          <w:p>
            <w:pPr>
              <w:spacing w:after="0"/>
              <w:rPr>
                <w:sz w:val="11"/>
                <w:szCs w:val="11"/>
                <w:color w:val="auto"/>
              </w:rPr>
            </w:pP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5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w w:val="90"/>
              </w:rPr>
              <w:t>Securities</w:t>
            </w:r>
          </w:p>
        </w:tc>
        <w:tc>
          <w:tcPr>
            <w:tcW w:w="280" w:type="dxa"/>
            <w:vAlign w:val="bottom"/>
          </w:tcPr>
          <w:p>
            <w:pPr>
              <w:spacing w:after="0"/>
              <w:rPr>
                <w:sz w:val="11"/>
                <w:szCs w:val="11"/>
                <w:color w:val="auto"/>
              </w:rPr>
            </w:pP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15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8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vMerge w:val="restart"/>
          </w:tcPr>
          <w:p>
            <w:pPr>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 or</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 of</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16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vMerge w:val="restart"/>
          </w:tcPr>
          <w:p>
            <w:pPr>
              <w:jc w:val="center"/>
              <w:ind w:left="58"/>
              <w:spacing w:after="0" w:line="142" w:lineRule="exact"/>
              <w:rPr>
                <w:sz w:val="20"/>
                <w:szCs w:val="20"/>
                <w:color w:val="auto"/>
              </w:rPr>
            </w:pPr>
            <w:r>
              <w:rPr>
                <w:rFonts w:ascii="Arial" w:cs="Arial" w:eastAsia="Arial" w:hAnsi="Arial"/>
                <w:sz w:val="13"/>
                <w:szCs w:val="13"/>
                <w:color w:val="0000FF"/>
                <w:w w:val="85"/>
              </w:rPr>
              <w:t>Stock</w:t>
            </w: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gridSpan w:val="2"/>
            <w:vMerge w:val="restart"/>
          </w:tcPr>
          <w:p>
            <w:pPr>
              <w:jc w:val="right"/>
              <w:ind w:right="319"/>
              <w:spacing w:after="0"/>
              <w:rPr>
                <w:sz w:val="20"/>
                <w:szCs w:val="20"/>
                <w:color w:val="auto"/>
              </w:rPr>
            </w:pPr>
            <w:r>
              <w:rPr>
                <w:rFonts w:ascii="Arial" w:cs="Arial" w:eastAsia="Arial" w:hAnsi="Arial"/>
                <w:sz w:val="11"/>
                <w:szCs w:val="11"/>
                <w:color w:val="008000"/>
              </w:rPr>
              <w:t>(2)</w:t>
            </w:r>
          </w:p>
        </w:tc>
        <w:tc>
          <w:tcPr>
            <w:tcW w:w="6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vMerge w:val="restart"/>
          </w:tcPr>
          <w:p>
            <w:pPr>
              <w:jc w:val="right"/>
              <w:ind w:right="83"/>
              <w:spacing w:after="0"/>
              <w:rPr>
                <w:sz w:val="20"/>
                <w:szCs w:val="20"/>
                <w:color w:val="auto"/>
              </w:rPr>
            </w:pPr>
            <w:r>
              <w:rPr>
                <w:rFonts w:ascii="Arial" w:cs="Arial" w:eastAsia="Arial" w:hAnsi="Arial"/>
                <w:sz w:val="17"/>
                <w:szCs w:val="17"/>
                <w:color w:val="0000FF"/>
                <w:w w:val="91"/>
              </w:rPr>
              <w:t>700,000</w:t>
            </w: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0.13</w:t>
            </w:r>
          </w:p>
        </w:tc>
        <w:tc>
          <w:tcPr>
            <w:tcW w:w="1080" w:type="dxa"/>
            <w:vAlign w:val="bottom"/>
            <w:vMerge w:val="restart"/>
          </w:tcPr>
          <w:p>
            <w:pPr>
              <w:jc w:val="right"/>
              <w:ind w:right="180"/>
              <w:spacing w:after="0" w:line="142" w:lineRule="exact"/>
              <w:rPr>
                <w:sz w:val="20"/>
                <w:szCs w:val="20"/>
                <w:color w:val="auto"/>
              </w:rPr>
            </w:pPr>
            <w:r>
              <w:rPr>
                <w:rFonts w:ascii="Arial" w:cs="Arial" w:eastAsia="Arial" w:hAnsi="Arial"/>
                <w:sz w:val="13"/>
                <w:szCs w:val="13"/>
                <w:color w:val="0000FF"/>
              </w:rPr>
              <w:t>05/04/2016</w:t>
            </w: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A</w:t>
            </w:r>
          </w:p>
        </w:tc>
        <w:tc>
          <w:tcPr>
            <w:tcW w:w="70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700,000</w:t>
            </w:r>
          </w:p>
        </w:tc>
        <w:tc>
          <w:tcPr>
            <w:tcW w:w="2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6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w w:val="95"/>
              </w:rPr>
              <w:t>05/04/2026</w:t>
            </w:r>
          </w:p>
        </w:tc>
        <w:tc>
          <w:tcPr>
            <w:tcW w:w="520" w:type="dxa"/>
            <w:vAlign w:val="bottom"/>
            <w:vMerge w:val="restart"/>
          </w:tcPr>
          <w:p>
            <w:pPr>
              <w:jc w:val="center"/>
              <w:ind w:left="58"/>
              <w:spacing w:after="0" w:line="142" w:lineRule="exact"/>
              <w:rPr>
                <w:sz w:val="20"/>
                <w:szCs w:val="20"/>
                <w:color w:val="auto"/>
              </w:rPr>
            </w:pPr>
            <w:r>
              <w:rPr>
                <w:rFonts w:ascii="Arial" w:cs="Arial" w:eastAsia="Arial" w:hAnsi="Arial"/>
                <w:sz w:val="13"/>
                <w:szCs w:val="13"/>
                <w:color w:val="0000FF"/>
                <w:w w:val="78"/>
              </w:rPr>
              <w:t>Par</w:t>
            </w: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80" w:type="dxa"/>
            <w:vAlign w:val="bottom"/>
            <w:gridSpan w:val="2"/>
            <w:vMerge w:val="restart"/>
          </w:tcPr>
          <w:p>
            <w:pPr>
              <w:jc w:val="right"/>
              <w:ind w:right="28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00" w:type="dxa"/>
            <w:vAlign w:val="bottom"/>
            <w:vMerge w:val="restart"/>
          </w:tcPr>
          <w:p>
            <w:pPr>
              <w:jc w:val="right"/>
              <w:ind w:right="121"/>
              <w:spacing w:after="0" w:line="142" w:lineRule="exact"/>
              <w:rPr>
                <w:sz w:val="20"/>
                <w:szCs w:val="20"/>
                <w:color w:val="auto"/>
              </w:rPr>
            </w:pPr>
            <w:r>
              <w:rPr>
                <w:rFonts w:ascii="Arial" w:cs="Arial" w:eastAsia="Arial" w:hAnsi="Arial"/>
                <w:sz w:val="13"/>
                <w:szCs w:val="13"/>
                <w:color w:val="0000FF"/>
              </w:rPr>
              <w:t>700,000</w:t>
            </w:r>
          </w:p>
        </w:tc>
        <w:tc>
          <w:tcPr>
            <w:tcW w:w="560" w:type="dxa"/>
            <w:vAlign w:val="bottom"/>
            <w:vMerge w:val="restart"/>
          </w:tcPr>
          <w:p>
            <w:pPr>
              <w:ind w:left="380"/>
              <w:spacing w:after="0" w:line="142" w:lineRule="exact"/>
              <w:rPr>
                <w:sz w:val="20"/>
                <w:szCs w:val="20"/>
                <w:color w:val="auto"/>
              </w:rPr>
            </w:pPr>
            <w:r>
              <w:rPr>
                <w:rFonts w:ascii="Arial" w:cs="Arial" w:eastAsia="Arial" w:hAnsi="Arial"/>
                <w:sz w:val="13"/>
                <w:szCs w:val="13"/>
                <w:color w:val="0000FF"/>
              </w:rPr>
              <w:t>D</w:t>
            </w: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(right-to-</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vMerge w:val="restart"/>
          </w:tcPr>
          <w:p>
            <w:pPr>
              <w:jc w:val="center"/>
              <w:ind w:left="58"/>
              <w:spacing w:after="0" w:line="142" w:lineRule="exact"/>
              <w:rPr>
                <w:sz w:val="20"/>
                <w:szCs w:val="20"/>
                <w:color w:val="auto"/>
              </w:rPr>
            </w:pPr>
            <w:r>
              <w:rPr>
                <w:rFonts w:ascii="Arial" w:cs="Arial" w:eastAsia="Arial" w:hAnsi="Arial"/>
                <w:sz w:val="13"/>
                <w:szCs w:val="13"/>
                <w:color w:val="0000FF"/>
                <w:w w:val="84"/>
              </w:rPr>
              <w:t>Value</w:t>
            </w: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vMerge w:val="restart"/>
          </w:tcPr>
          <w:p>
            <w:pPr>
              <w:jc w:val="center"/>
              <w:ind w:left="58"/>
              <w:spacing w:after="0"/>
              <w:rPr>
                <w:sz w:val="20"/>
                <w:szCs w:val="20"/>
                <w:color w:val="auto"/>
              </w:rPr>
            </w:pPr>
            <w:r>
              <w:rPr>
                <w:rFonts w:ascii="Arial" w:cs="Arial" w:eastAsia="Arial" w:hAnsi="Arial"/>
                <w:sz w:val="13"/>
                <w:szCs w:val="13"/>
                <w:color w:val="0000FF"/>
                <w:w w:val="90"/>
              </w:rPr>
              <w:t>$0.001</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color w:val="0000FF"/>
                <w:w w:val="90"/>
              </w:rPr>
              <w:t>Common</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0000FF"/>
              </w:rPr>
              <w:t>By</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vMerge w:val="restart"/>
          </w:tcPr>
          <w:p>
            <w:pPr>
              <w:jc w:val="center"/>
              <w:ind w:left="58"/>
              <w:spacing w:after="0" w:line="142" w:lineRule="exact"/>
              <w:rPr>
                <w:sz w:val="20"/>
                <w:szCs w:val="20"/>
                <w:color w:val="auto"/>
              </w:rPr>
            </w:pPr>
            <w:r>
              <w:rPr>
                <w:rFonts w:ascii="Arial" w:cs="Arial" w:eastAsia="Arial" w:hAnsi="Arial"/>
                <w:sz w:val="13"/>
                <w:szCs w:val="13"/>
                <w:color w:val="0000FF"/>
                <w:w w:val="85"/>
              </w:rPr>
              <w:t>Stock</w:t>
            </w: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7"/>
                <w:szCs w:val="17"/>
                <w:color w:val="0000FF"/>
                <w:w w:val="89"/>
              </w:rPr>
              <w:t>10,066,809</w:t>
            </w: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gridSpan w:val="2"/>
            <w:vMerge w:val="restart"/>
          </w:tcPr>
          <w:p>
            <w:pPr>
              <w:ind w:left="20"/>
              <w:spacing w:after="0" w:line="142" w:lineRule="exact"/>
              <w:rPr>
                <w:sz w:val="20"/>
                <w:szCs w:val="20"/>
                <w:color w:val="auto"/>
              </w:rPr>
            </w:pPr>
            <w:r>
              <w:rPr>
                <w:rFonts w:ascii="Arial" w:cs="Arial" w:eastAsia="Arial" w:hAnsi="Arial"/>
                <w:sz w:val="13"/>
                <w:szCs w:val="13"/>
                <w:color w:val="0000FF"/>
              </w:rPr>
              <w:t>Liquidmetals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0.07</w:t>
            </w:r>
          </w:p>
        </w:tc>
        <w:tc>
          <w:tcPr>
            <w:tcW w:w="10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gridSpan w:val="2"/>
            <w:vMerge w:val="restart"/>
          </w:tcPr>
          <w:p>
            <w:pPr>
              <w:jc w:val="right"/>
              <w:ind w:right="99"/>
              <w:spacing w:after="0"/>
              <w:rPr>
                <w:sz w:val="20"/>
                <w:szCs w:val="20"/>
                <w:color w:val="auto"/>
              </w:rPr>
            </w:pPr>
            <w:r>
              <w:rPr>
                <w:rFonts w:ascii="Arial" w:cs="Arial" w:eastAsia="Arial" w:hAnsi="Arial"/>
                <w:sz w:val="13"/>
                <w:szCs w:val="13"/>
                <w:color w:val="0000FF"/>
                <w:w w:val="95"/>
              </w:rPr>
              <w:t>03/10/2016</w:t>
            </w:r>
          </w:p>
        </w:tc>
        <w:tc>
          <w:tcPr>
            <w:tcW w:w="660" w:type="dxa"/>
            <w:vAlign w:val="bottom"/>
            <w:vMerge w:val="restart"/>
          </w:tcPr>
          <w:p>
            <w:pPr>
              <w:ind w:left="20"/>
              <w:spacing w:after="0"/>
              <w:rPr>
                <w:sz w:val="20"/>
                <w:szCs w:val="20"/>
                <w:color w:val="auto"/>
              </w:rPr>
            </w:pPr>
            <w:r>
              <w:rPr>
                <w:rFonts w:ascii="Arial" w:cs="Arial" w:eastAsia="Arial" w:hAnsi="Arial"/>
                <w:sz w:val="13"/>
                <w:szCs w:val="13"/>
                <w:color w:val="0000FF"/>
                <w:w w:val="95"/>
              </w:rPr>
              <w:t>03/10/2026</w:t>
            </w:r>
          </w:p>
        </w:tc>
        <w:tc>
          <w:tcPr>
            <w:tcW w:w="520" w:type="dxa"/>
            <w:vAlign w:val="bottom"/>
            <w:vMerge w:val="restart"/>
          </w:tcPr>
          <w:p>
            <w:pPr>
              <w:jc w:val="center"/>
              <w:ind w:left="58"/>
              <w:spacing w:after="0"/>
              <w:rPr>
                <w:sz w:val="20"/>
                <w:szCs w:val="20"/>
                <w:color w:val="auto"/>
              </w:rPr>
            </w:pPr>
            <w:r>
              <w:rPr>
                <w:rFonts w:ascii="Arial" w:cs="Arial" w:eastAsia="Arial" w:hAnsi="Arial"/>
                <w:sz w:val="13"/>
                <w:szCs w:val="13"/>
                <w:color w:val="0000FF"/>
                <w:w w:val="78"/>
              </w:rPr>
              <w:t>Par</w:t>
            </w:r>
          </w:p>
        </w:tc>
        <w:tc>
          <w:tcPr>
            <w:tcW w:w="1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vMerge w:val="restart"/>
          </w:tcPr>
          <w:p>
            <w:pPr>
              <w:jc w:val="right"/>
              <w:ind w:right="41"/>
              <w:spacing w:after="0"/>
              <w:rPr>
                <w:sz w:val="20"/>
                <w:szCs w:val="20"/>
                <w:color w:val="auto"/>
              </w:rPr>
            </w:pPr>
            <w:r>
              <w:rPr>
                <w:rFonts w:ascii="Arial" w:cs="Arial" w:eastAsia="Arial" w:hAnsi="Arial"/>
                <w:sz w:val="13"/>
                <w:szCs w:val="13"/>
                <w:color w:val="0000FF"/>
              </w:rPr>
              <w:t>10,066,809</w:t>
            </w:r>
          </w:p>
        </w:tc>
        <w:tc>
          <w:tcPr>
            <w:tcW w:w="560" w:type="dxa"/>
            <w:vAlign w:val="bottom"/>
            <w:vMerge w:val="restart"/>
          </w:tcPr>
          <w:p>
            <w:pPr>
              <w:ind w:left="420"/>
              <w:spacing w:after="0"/>
              <w:rPr>
                <w:sz w:val="20"/>
                <w:szCs w:val="20"/>
                <w:color w:val="auto"/>
              </w:rPr>
            </w:pPr>
            <w:r>
              <w:rPr>
                <w:rFonts w:ascii="Arial" w:cs="Arial" w:eastAsia="Arial" w:hAnsi="Arial"/>
                <w:sz w:val="13"/>
                <w:szCs w:val="13"/>
                <w:color w:val="0000FF"/>
              </w:rPr>
              <w:t>I</w:t>
            </w: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Purchase</w:t>
            </w:r>
          </w:p>
        </w:tc>
        <w:tc>
          <w:tcPr>
            <w:tcW w:w="78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ind w:left="20"/>
              <w:spacing w:after="0" w:line="125" w:lineRule="exact"/>
              <w:rPr>
                <w:sz w:val="20"/>
                <w:szCs w:val="20"/>
                <w:color w:val="auto"/>
              </w:rPr>
            </w:pPr>
            <w:r>
              <w:rPr>
                <w:rFonts w:ascii="Arial" w:cs="Arial" w:eastAsia="Arial" w:hAnsi="Arial"/>
                <w:sz w:val="13"/>
                <w:szCs w:val="13"/>
                <w:color w:val="0000FF"/>
              </w:rPr>
              <w:t>Technology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Warrant</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jc w:val="center"/>
              <w:ind w:left="58"/>
              <w:spacing w:after="0"/>
              <w:rPr>
                <w:sz w:val="20"/>
                <w:szCs w:val="20"/>
                <w:color w:val="auto"/>
              </w:rPr>
            </w:pPr>
            <w:r>
              <w:rPr>
                <w:rFonts w:ascii="Arial" w:cs="Arial" w:eastAsia="Arial" w:hAnsi="Arial"/>
                <w:sz w:val="13"/>
                <w:szCs w:val="13"/>
                <w:color w:val="0000FF"/>
                <w:w w:val="84"/>
              </w:rPr>
              <w:t>Value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tcPr>
          <w:p>
            <w:pPr>
              <w:ind w:left="20"/>
              <w:spacing w:after="0" w:line="168" w:lineRule="exact"/>
              <w:rPr>
                <w:sz w:val="20"/>
                <w:szCs w:val="20"/>
                <w:color w:val="auto"/>
              </w:rPr>
            </w:pPr>
            <w:r>
              <w:rPr>
                <w:rFonts w:ascii="Arial" w:cs="Arial" w:eastAsia="Arial" w:hAnsi="Arial"/>
                <w:sz w:val="12"/>
                <w:szCs w:val="12"/>
                <w:color w:val="0000FF"/>
              </w:rPr>
              <w:t>Limited</w:t>
            </w:r>
            <w:r>
              <w:rPr>
                <w:rFonts w:ascii="Arial" w:cs="Arial" w:eastAsia="Arial" w:hAnsi="Arial"/>
                <w:sz w:val="19"/>
                <w:szCs w:val="19"/>
                <w:color w:val="008000"/>
                <w:vertAlign w:val="superscript"/>
              </w:rPr>
              <w:t>(3)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jc w:val="center"/>
              <w:ind w:left="58"/>
              <w:spacing w:after="0"/>
              <w:rPr>
                <w:sz w:val="20"/>
                <w:szCs w:val="20"/>
                <w:color w:val="auto"/>
              </w:rPr>
            </w:pPr>
            <w:r>
              <w:rPr>
                <w:rFonts w:ascii="Arial" w:cs="Arial" w:eastAsia="Arial" w:hAnsi="Arial"/>
                <w:sz w:val="13"/>
                <w:szCs w:val="13"/>
                <w:color w:val="0000FF"/>
                <w:w w:val="90"/>
              </w:rPr>
              <w:t>$0.001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Liquidmetal Technology Limited, a Hong Kong corporation, holds such shares of common stock. Mr. Li is the sole shareholder, executive officer and director of Liquidmetal Technology Limited.</w:t>
      </w:r>
    </w:p>
    <w:p>
      <w:pPr>
        <w:spacing w:after="0" w:line="44" w:lineRule="exact"/>
        <w:rPr>
          <w:rFonts w:ascii="Arial" w:cs="Arial" w:eastAsia="Arial" w:hAnsi="Arial"/>
          <w:sz w:val="13"/>
          <w:szCs w:val="13"/>
          <w:color w:val="008000"/>
        </w:rPr>
      </w:pPr>
    </w:p>
    <w:p>
      <w:pPr>
        <w:ind w:left="40" w:right="26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an option granted under the Company's 2015 Equity Incentive Plan. The shares covered by the option will vest 20% on the first year anniversary date from the date of grant. Thereafter, the shares covered by the option will vest monthly over 4 years with the option being 100% vested on the fifth anniversary of the date of grant.</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Liquidmetal Technology Limited holds such common stock purchase warrant. Mr. Li is the sole shareholder, executive officer and director of Liquidmetal Technology Limited.</w:t>
      </w:r>
    </w:p>
    <w:p>
      <w:pPr>
        <w:spacing w:after="0" w:line="70"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Stephen M. Fleming,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1423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7"/>
          <w:szCs w:val="17"/>
          <w:color w:val="0000FF"/>
        </w:rPr>
        <w:t>Attorney-in-Fact for Yeung Tak</w:t>
      </w:r>
      <w:r>
        <w:rPr>
          <w:sz w:val="20"/>
          <w:szCs w:val="20"/>
          <w:color w:val="auto"/>
        </w:rPr>
        <w:tab/>
      </w:r>
      <w:r>
        <w:rPr>
          <w:rFonts w:ascii="Arial" w:cs="Arial" w:eastAsia="Arial" w:hAnsi="Arial"/>
          <w:sz w:val="15"/>
          <w:szCs w:val="15"/>
          <w:color w:val="0000FF"/>
        </w:rPr>
        <w:t>11/03/2016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-15875</wp:posOffset>
            </wp:positionV>
            <wp:extent cx="1931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3167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Lugee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-15875</wp:posOffset>
            </wp:positionV>
            <wp:extent cx="3873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87350" cy="8255"/>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404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1" w:right="1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198" w:lineRule="exact"/>
        <w:rPr>
          <w:sz w:val="20"/>
          <w:szCs w:val="20"/>
          <w:color w:val="auto"/>
        </w:rPr>
      </w:pPr>
    </w:p>
    <w:p>
      <w:pPr>
        <w:jc w:val="both"/>
        <w:ind w:firstLine="1239"/>
        <w:spacing w:after="0" w:line="202" w:lineRule="exact"/>
        <w:rPr>
          <w:sz w:val="20"/>
          <w:szCs w:val="20"/>
          <w:color w:val="auto"/>
        </w:rPr>
      </w:pPr>
      <w:r>
        <w:rPr>
          <w:rFonts w:ascii="Arial" w:cs="Arial" w:eastAsia="Arial" w:hAnsi="Arial"/>
          <w:sz w:val="17"/>
          <w:szCs w:val="17"/>
          <w:color w:val="auto"/>
        </w:rPr>
        <w:t>Know all by these presents, that, for good and valuable consideration, the sufficiency and receipt of which are hereby acknowledged, the undersigned hereby constitutes and appoints each of Stephen Fleming, Evan Costaldo, Tony Chung and Bryce Van, and any of their substitutes, signing singly, the undersigned’s true and lawful attorney</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 to:</w:t>
      </w:r>
    </w:p>
    <w:p>
      <w:pPr>
        <w:spacing w:after="0" w:line="171" w:lineRule="exact"/>
        <w:rPr>
          <w:sz w:val="20"/>
          <w:szCs w:val="20"/>
          <w:color w:val="auto"/>
        </w:rPr>
      </w:pPr>
    </w:p>
    <w:p>
      <w:pPr>
        <w:jc w:val="both"/>
        <w:ind w:left="620" w:right="620" w:firstLine="622"/>
        <w:spacing w:after="0" w:line="257" w:lineRule="auto"/>
        <w:tabs>
          <w:tab w:leader="none" w:pos="195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execute for and on behalf of the undersigned (in accordance with Section 16(a) of the Securities Exchange Act of 1934, as amended, and the rules thereunder (the “Exchange Act”)), any and all Forms 3, 4 and/or 5, and any amendments thereto, that are necessary or advisable for the undersigned to file under Section 16(a) (collectively, “Documents”) with respect to the undersigned’s holdings of and transactions in the securities issued by Liquidmetal Technologies, Inc., a Delaware corporation (the “Company”).</w:t>
      </w:r>
    </w:p>
    <w:p>
      <w:pPr>
        <w:spacing w:after="0" w:line="156" w:lineRule="exact"/>
        <w:rPr>
          <w:rFonts w:ascii="Arial" w:cs="Arial" w:eastAsia="Arial" w:hAnsi="Arial"/>
          <w:sz w:val="17"/>
          <w:szCs w:val="17"/>
          <w:color w:val="auto"/>
        </w:rPr>
      </w:pPr>
    </w:p>
    <w:p>
      <w:pPr>
        <w:jc w:val="both"/>
        <w:ind w:left="620" w:right="620" w:firstLine="622"/>
        <w:spacing w:after="0" w:line="266" w:lineRule="auto"/>
        <w:tabs>
          <w:tab w:leader="none" w:pos="1795" w:val="left"/>
        </w:tabs>
        <w:numPr>
          <w:ilvl w:val="0"/>
          <w:numId w:val="3"/>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that may be necessary or desirable to complete and execute any such Documents and timely file such Documents with the United States Securities and Exchange Commission and any stock exchange or similar authority; and</w:t>
      </w:r>
    </w:p>
    <w:p>
      <w:pPr>
        <w:spacing w:after="0" w:line="150" w:lineRule="exact"/>
        <w:rPr>
          <w:rFonts w:ascii="Arial" w:cs="Arial" w:eastAsia="Arial" w:hAnsi="Arial"/>
          <w:sz w:val="17"/>
          <w:szCs w:val="17"/>
          <w:color w:val="auto"/>
        </w:rPr>
      </w:pPr>
    </w:p>
    <w:p>
      <w:pPr>
        <w:jc w:val="both"/>
        <w:ind w:left="620" w:right="620" w:firstLine="622"/>
        <w:spacing w:after="0" w:line="257" w:lineRule="auto"/>
        <w:tabs>
          <w:tab w:leader="none" w:pos="1769" w:val="left"/>
        </w:tabs>
        <w:numPr>
          <w:ilvl w:val="0"/>
          <w:numId w:val="3"/>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56" w:lineRule="exact"/>
        <w:rPr>
          <w:sz w:val="20"/>
          <w:szCs w:val="20"/>
          <w:color w:val="auto"/>
        </w:rPr>
      </w:pPr>
    </w:p>
    <w:p>
      <w:pPr>
        <w:jc w:val="both"/>
        <w:ind w:firstLine="1239"/>
        <w:spacing w:after="0" w:line="198" w:lineRule="exact"/>
        <w:rPr>
          <w:sz w:val="20"/>
          <w:szCs w:val="20"/>
          <w:color w:val="auto"/>
        </w:rPr>
      </w:pPr>
      <w:r>
        <w:rPr>
          <w:rFonts w:ascii="Arial" w:cs="Arial" w:eastAsia="Arial" w:hAnsi="Arial"/>
          <w:sz w:val="16"/>
          <w:szCs w:val="16"/>
          <w:color w:val="auto"/>
        </w:rPr>
        <w:t>The undersigned hereby grants to each such attorney</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fact (or such attorney</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fact’s substitute or substitutes) shall lawfully do or cause to be done by virtue of this power of attorney and the rights and powers herein granted. The undersigned acknowledges that each attorney</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fact, in serving in such capacity at the request of the undersigned, is not assuming, nor is such attorney</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fact’s substitute or substitutes or the Company assuming, any of the undersigned’s responsibilities to comply with the Exchange Act.</w:t>
      </w:r>
    </w:p>
    <w:p>
      <w:pPr>
        <w:spacing w:after="0" w:line="173" w:lineRule="exact"/>
        <w:rPr>
          <w:sz w:val="20"/>
          <w:szCs w:val="20"/>
          <w:color w:val="auto"/>
        </w:rPr>
      </w:pPr>
    </w:p>
    <w:p>
      <w:pPr>
        <w:jc w:val="both"/>
        <w:ind w:firstLine="1239"/>
        <w:spacing w:after="0" w:line="243" w:lineRule="auto"/>
        <w:rPr>
          <w:sz w:val="20"/>
          <w:szCs w:val="20"/>
          <w:color w:val="auto"/>
        </w:rPr>
      </w:pPr>
      <w:r>
        <w:rPr>
          <w:rFonts w:ascii="Arial" w:cs="Arial" w:eastAsia="Arial" w:hAnsi="Arial"/>
          <w:sz w:val="17"/>
          <w:szCs w:val="17"/>
          <w:color w:val="auto"/>
        </w:rPr>
        <w:t>The undersigned agrees that such attorney-in-fact may rely entirely on information furnished orally or in writing by the undersigned to such attorney-in-fact. The undersigned also agrees to indemnify and hold harmless the Company and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Documents and agrees to reimburse the Company and such attorney-in-fact for any legal or other expenses reasonably incurred in connection with investigating or defending against any such loss, claim, damage, liability or action.</w:t>
      </w:r>
    </w:p>
    <w:p>
      <w:pPr>
        <w:spacing w:after="0" w:line="168" w:lineRule="exact"/>
        <w:rPr>
          <w:sz w:val="20"/>
          <w:szCs w:val="20"/>
          <w:color w:val="auto"/>
        </w:rPr>
      </w:pPr>
    </w:p>
    <w:p>
      <w:pPr>
        <w:jc w:val="both"/>
        <w:ind w:firstLine="1239"/>
        <w:spacing w:after="0" w:line="202" w:lineRule="exact"/>
        <w:rPr>
          <w:sz w:val="20"/>
          <w:szCs w:val="20"/>
          <w:color w:val="auto"/>
        </w:rPr>
      </w:pPr>
      <w:r>
        <w:rPr>
          <w:rFonts w:ascii="Arial" w:cs="Arial" w:eastAsia="Arial" w:hAnsi="Arial"/>
          <w:sz w:val="17"/>
          <w:szCs w:val="17"/>
          <w:color w:val="auto"/>
        </w:rPr>
        <w:t>This Power of Attorney shall remain in full force and effect until the undersigned is no longer required to file Documents with respect to the undersigned’s holdings of and transactions in securities issued by the Company, unless earlier revoked by the undersigned in a signed writing delivered to each of the foregoing attorneys</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undersigned has caused this Power of Attorney to be executed as of this 1st day of November, 2016.</w:t>
      </w:r>
    </w:p>
    <w:p>
      <w:pPr>
        <w:spacing w:after="0" w:line="200" w:lineRule="exact"/>
        <w:rPr>
          <w:sz w:val="20"/>
          <w:szCs w:val="20"/>
          <w:color w:val="auto"/>
        </w:rPr>
      </w:pPr>
    </w:p>
    <w:p>
      <w:pPr>
        <w:spacing w:after="0" w:line="385" w:lineRule="exact"/>
        <w:rPr>
          <w:sz w:val="20"/>
          <w:szCs w:val="20"/>
          <w:color w:val="auto"/>
        </w:rPr>
      </w:pPr>
    </w:p>
    <w:p>
      <w:pPr>
        <w:ind w:left="4020"/>
        <w:spacing w:after="0"/>
        <w:rPr>
          <w:sz w:val="20"/>
          <w:szCs w:val="20"/>
          <w:color w:val="auto"/>
        </w:rPr>
      </w:pPr>
      <w:r>
        <w:rPr>
          <w:rFonts w:ascii="Arial" w:cs="Arial" w:eastAsia="Arial" w:hAnsi="Arial"/>
          <w:sz w:val="17"/>
          <w:szCs w:val="17"/>
          <w:u w:val="single" w:color="auto"/>
          <w:color w:val="auto"/>
        </w:rPr>
        <w:t>/s/ Lugee Li</w:t>
      </w:r>
    </w:p>
    <w:p>
      <w:pPr>
        <w:spacing w:after="0" w:line="12"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Yeung Tak Lugee Li</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68760" TargetMode="External"/><Relationship Id="rId13" Type="http://schemas.openxmlformats.org/officeDocument/2006/relationships/hyperlink" Target="http://www.sec.gov/cgi-bin/browse-edgar?action=getcompany&amp;CIK=00011412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2019-12-07T12:55:26Z</dcterms:created>
  <dcterms:modified xsi:type="dcterms:W3CDTF">2019-12-07T12:55:26Z</dcterms:modified>
</cp:coreProperties>
</file>