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sc13da.htm"/>
      <w:bookmarkStart w:id="1" w:name="kssc13da"/>
      <w:bookmarkStart w:id="2" w:name="sc13da.htm"/>
      <w:bookmarkStart w:id="3" w:name="kssc13da"/>
      <w:bookmarkEnd w:id="2"/>
      <w:bookmarkEnd w:id="3"/>
    </w:p>
    <w:p>
      <w:pPr>
        <w:pStyle w:val="TextBody"/>
        <w:bidi w:val="0"/>
        <w:spacing w:before="200" w:after="283"/>
        <w:jc w:val="center"/>
        <w:rPr>
          <w:rFonts w:ascii="Times New Roman;Times;serif" w:hAnsi="Times New Roman;Times;serif"/>
          <w:b/>
          <w:color w:val="000000"/>
          <w:sz w:val="24"/>
        </w:rPr>
      </w:pPr>
      <w:r>
        <w:rPr>
          <w:rFonts w:ascii="Times New Roman;Times;serif" w:hAnsi="Times New Roman;Times;serif"/>
          <w:b/>
          <w:color w:val="000000"/>
          <w:sz w:val="24"/>
        </w:rPr>
        <w:t>UNITED STATES</w:t>
        <w:br/>
        <w:t>SECURITIES AND EXCHANGE COMMISSION</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Washington, D.C. 20549</w:t>
      </w:r>
    </w:p>
    <w:p>
      <w:pPr>
        <w:pStyle w:val="TextBody"/>
        <w:bidi w:val="0"/>
        <w:spacing w:before="200" w:after="283"/>
        <w:jc w:val="center"/>
        <w:rPr>
          <w:rFonts w:ascii="Times New Roman;Times;serif" w:hAnsi="Times New Roman;Times;serif"/>
          <w:b/>
          <w:color w:val="000000"/>
          <w:sz w:val="24"/>
        </w:rPr>
      </w:pPr>
      <w:r>
        <w:rPr>
          <w:rFonts w:ascii="Times New Roman;Times;serif" w:hAnsi="Times New Roman;Times;serif"/>
          <w:b/>
          <w:color w:val="000000"/>
          <w:sz w:val="24"/>
        </w:rPr>
        <w:t>SCHEDULE 13D/A</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Under the Securities Exchange Act of 1934</w:t>
      </w:r>
    </w:p>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(Amendment No. 1)</w:t>
      </w:r>
    </w:p>
    <w:p>
      <w:pPr>
        <w:pStyle w:val="TextBody"/>
        <w:bidi w:val="0"/>
        <w:spacing w:before="200" w:after="283"/>
        <w:jc w:val="center"/>
        <w:rPr>
          <w:rFonts w:ascii="Times New Roman;Times;serif" w:hAnsi="Times New Roman;Times;serif"/>
          <w:b/>
          <w:color w:val="000000"/>
          <w:sz w:val="36"/>
        </w:rPr>
      </w:pPr>
      <w:r>
        <w:rPr>
          <w:rFonts w:ascii="Times New Roman;Times;serif" w:hAnsi="Times New Roman;Times;serif"/>
          <w:b/>
          <w:color w:val="000000"/>
          <w:sz w:val="36"/>
        </w:rPr>
        <w:t>LIQUIDMETAL TECHNOLOGIES, INC.</w:t>
      </w:r>
    </w:p>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(Name of Issuer)</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COMMON STOCK, PAR VALUE $0.001 PER SHARE</w:t>
      </w:r>
    </w:p>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(Title of Class of Securities)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53634X100</w:t>
      </w:r>
    </w:p>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(CUSIP Number)</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Liquidmetal Technology Limited</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Room 906, Tai Tung Building</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8 Fleming Road</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Wanchai, Hong Kong</w:t>
      </w:r>
    </w:p>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(Name, Address and Telephone Number of Person</w:t>
        <w:br/>
        <w:t>Authorized to Receive Notices and Communications)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October 10, 2024</w:t>
      </w:r>
    </w:p>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(Date of Event Which Requires Filing of This Statement)</w:t>
      </w:r>
    </w:p>
    <w:p>
      <w:pPr>
        <w:pStyle w:val="TextBody"/>
        <w:bidi w:val="0"/>
        <w:spacing w:before="0" w:after="240"/>
        <w:jc w:val="left"/>
        <w:rPr>
          <w:rFonts w:ascii="Times New Roman;Times;serif" w:hAnsi="Times New Roman;Times;serif"/>
          <w:color w:val="000000"/>
          <w:sz w:val="20"/>
        </w:rPr>
      </w:pPr>
      <w:r>
        <w:rPr>
          <w:rFonts w:ascii="Times New Roman;Times;serif" w:hAnsi="Times New Roman;Times;serif"/>
          <w:color w:val="000000"/>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bidi w:val="0"/>
        <w:spacing w:before="0" w:after="240"/>
        <w:jc w:val="left"/>
        <w:rPr>
          <w:rFonts w:ascii="Times New Roman;Times;serif" w:hAnsi="Times New Roman;Times;serif"/>
          <w:color w:val="000000"/>
          <w:sz w:val="20"/>
        </w:rPr>
      </w:pPr>
      <w:r>
        <w:rPr>
          <w:rFonts w:ascii="Times New Roman;Times;serif" w:hAnsi="Times New Roman;Times;serif"/>
          <w:color w:val="000000"/>
          <w:sz w:val="20"/>
        </w:rPr>
        <w:t>Note: Schedules filed in paper format shall include a signed original and five copies of the schedule, including all exhibits. See § 240.13d-7 for other parties to whom copies are to be sent.</w:t>
      </w:r>
    </w:p>
    <w:p>
      <w:pPr>
        <w:pStyle w:val="TextBody"/>
        <w:bidi w:val="0"/>
        <w:spacing w:before="0" w:after="240"/>
        <w:jc w:val="center"/>
        <w:rPr>
          <w:rFonts w:ascii="Times New Roman;Times;serif" w:hAnsi="Times New Roman;Times;serif"/>
          <w:color w:val="000000"/>
          <w:sz w:val="20"/>
        </w:rPr>
      </w:pPr>
      <w:r>
        <w:rPr>
          <w:rFonts w:ascii="Times New Roman;Times;serif" w:hAnsi="Times New Roman;Times;serif"/>
          <w:color w:val="000000"/>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240"/>
        <w:jc w:val="left"/>
        <w:rPr>
          <w:rFonts w:ascii="Times New Roman;Times;serif" w:hAnsi="Times New Roman;Times;serif"/>
          <w:color w:val="000000"/>
          <w:sz w:val="20"/>
        </w:rPr>
      </w:pPr>
      <w:r>
        <w:rPr>
          <w:rFonts w:ascii="Times New Roman;Times;serif" w:hAnsi="Times New Roman;Times;serif"/>
          <w:color w:val="000000"/>
          <w:sz w:val="20"/>
        </w:rPr>
        <w:t>The information required on the remainder of this cover page shall not be deemed to be “filed” for the purpose of Section 18 of the Securities Exchange Act of 1934, as amended (the “Exchange Act”), or otherwise subject to the liabilities of that section of the Exchange Act but shall be subject to all other provisions of the Exchange Act (however, see the Notes).</w:t>
      </w:r>
    </w:p>
    <w:p>
      <w:pPr>
        <w:pStyle w:val="HorizontalLine"/>
        <w:pBdr>
          <w:bottom w:val="single" w:sz="12" w:space="0" w:color="808080"/>
        </w:pBdr>
        <w:bidi w:val="0"/>
        <w:spacing w:before="200" w:after="200"/>
        <w:jc w:val="left"/>
        <w:rPr/>
      </w:pPr>
      <w:r>
        <w:rPr/>
      </w:r>
    </w:p>
    <w:p>
      <w:pPr>
        <w:pStyle w:val="TextBody"/>
        <w:bidi w:val="0"/>
        <w:spacing w:before="0" w:after="240"/>
        <w:jc w:val="left"/>
        <w:rPr/>
      </w:pPr>
      <w:r>
        <w:rPr/>
      </w:r>
    </w:p>
    <w:p>
      <w:pPr>
        <w:pStyle w:val="TextBody"/>
        <w:bidi w:val="0"/>
        <w:spacing w:before="0" w:after="240"/>
        <w:jc w:val="center"/>
        <w:rPr>
          <w:rFonts w:ascii="Times New Roman;Times;serif" w:hAnsi="Times New Roman;Times;serif"/>
          <w:b/>
          <w:color w:val="000000"/>
          <w:sz w:val="20"/>
        </w:rPr>
      </w:pPr>
      <w:r>
        <w:rPr>
          <w:rFonts w:ascii="Times New Roman;Times;serif" w:hAnsi="Times New Roman;Times;serif"/>
          <w:b/>
          <w:color w:val="000000"/>
          <w:sz w:val="20"/>
        </w:rPr>
        <w:t>SCHEDULE 13D/A</w:t>
      </w:r>
    </w:p>
    <w:p>
      <w:pPr>
        <w:pStyle w:val="TextBody"/>
        <w:bidi w:val="0"/>
        <w:spacing w:before="0" w:after="240"/>
        <w:jc w:val="left"/>
        <w:rPr>
          <w:rFonts w:ascii="Times New Roman;Times;serif" w:hAnsi="Times New Roman;Times;serif"/>
          <w:color w:val="000000"/>
          <w:sz w:val="20"/>
        </w:rPr>
      </w:pPr>
      <w:r>
        <w:rPr>
          <w:rFonts w:ascii="Times New Roman;Times;serif" w:hAnsi="Times New Roman;Times;serif"/>
          <w:color w:val="000000"/>
          <w:sz w:val="20"/>
        </w:rPr>
        <w:t>CUSIP No. 53634X100</w:t>
      </w:r>
    </w:p>
    <w:p>
      <w:pPr>
        <w:pStyle w:val="Normal"/>
        <w:bidi w:val="0"/>
        <w:spacing w:before="0" w:after="0"/>
        <w:jc w:val="left"/>
        <w:rPr>
          <w:sz w:val="4"/>
          <w:szCs w:val="4"/>
        </w:rPr>
      </w:pPr>
      <w:r>
        <w:rPr>
          <w:sz w:val="4"/>
          <w:szCs w:val="4"/>
        </w:rPr>
      </w:r>
      <w:bookmarkStart w:id="4" w:name="z740fbc59c6994adcb842ca7e35c89c06"/>
      <w:bookmarkStart w:id="5" w:name="z740fbc59c6994adcb842ca7e35c89c06"/>
      <w:bookmarkEnd w:id="5"/>
    </w:p>
    <w:tbl>
      <w:tblPr>
        <w:tblW w:w="10205" w:type="dxa"/>
        <w:jc w:val="left"/>
        <w:tblInd w:w="0" w:type="dxa"/>
        <w:tblLayout w:type="fixed"/>
        <w:tblCellMar>
          <w:top w:w="0" w:type="dxa"/>
          <w:left w:w="0" w:type="dxa"/>
          <w:bottom w:w="28" w:type="dxa"/>
          <w:right w:w="0" w:type="dxa"/>
        </w:tblCellMar>
      </w:tblPr>
      <w:tblGrid>
        <w:gridCol w:w="4103"/>
        <w:gridCol w:w="908"/>
        <w:gridCol w:w="458"/>
        <w:gridCol w:w="4736"/>
      </w:tblGrid>
      <w:tr>
        <w:trPr/>
        <w:tc>
          <w:tcPr>
            <w:tcW w:w="4103" w:type="dxa"/>
            <w:tcBorders>
              <w:bottom w:val="single" w:sz="12" w:space="0" w:color="000000"/>
            </w:tcBorders>
            <w:vAlign w:val="center"/>
          </w:tcPr>
          <w:p>
            <w:pPr>
              <w:pStyle w:val="TableContents"/>
              <w:bidi w:val="0"/>
              <w:spacing w:before="0" w:after="0"/>
              <w:jc w:val="center"/>
              <w:rPr/>
            </w:pPr>
            <w:r>
              <w:rPr/>
              <w:t>1</w:t>
            </w:r>
          </w:p>
        </w:tc>
        <w:tc>
          <w:tcPr>
            <w:tcW w:w="6102" w:type="dxa"/>
            <w:gridSpan w:val="3"/>
            <w:tcBorders>
              <w:bottom w:val="single" w:sz="12" w:space="0" w:color="000000"/>
            </w:tcBorders>
            <w:vAlign w:val="center"/>
          </w:tcPr>
          <w:p>
            <w:pPr>
              <w:pStyle w:val="TableContents"/>
              <w:bidi w:val="0"/>
              <w:spacing w:before="0" w:after="0"/>
              <w:jc w:val="left"/>
              <w:rPr>
                <w:b/>
              </w:rPr>
            </w:pPr>
            <w:r>
              <w:rPr>
                <w:b/>
              </w:rPr>
              <w:t>NAME OF REPORTING PERSON</w:t>
            </w:r>
          </w:p>
          <w:p>
            <w:pPr>
              <w:pStyle w:val="TableContents"/>
              <w:bidi w:val="0"/>
              <w:spacing w:before="0" w:after="0"/>
              <w:ind w:left="720" w:right="0" w:hanging="0"/>
              <w:jc w:val="left"/>
              <w:rPr/>
            </w:pPr>
            <w:r>
              <w:rPr/>
              <w:t>Liquidmetal Technology Limited</w:t>
            </w:r>
          </w:p>
        </w:tc>
      </w:tr>
      <w:tr>
        <w:trPr/>
        <w:tc>
          <w:tcPr>
            <w:tcW w:w="4103" w:type="dxa"/>
            <w:tcBorders>
              <w:bottom w:val="single" w:sz="12" w:space="0" w:color="000000"/>
            </w:tcBorders>
            <w:vAlign w:val="center"/>
          </w:tcPr>
          <w:p>
            <w:pPr>
              <w:pStyle w:val="TableContents"/>
              <w:bidi w:val="0"/>
              <w:spacing w:before="0" w:after="0"/>
              <w:jc w:val="center"/>
              <w:rPr/>
            </w:pPr>
            <w:r>
              <w:rPr/>
              <w:t>2</w:t>
            </w:r>
          </w:p>
        </w:tc>
        <w:tc>
          <w:tcPr>
            <w:tcW w:w="6102" w:type="dxa"/>
            <w:gridSpan w:val="3"/>
            <w:tcBorders>
              <w:bottom w:val="single" w:sz="12" w:space="0" w:color="000000"/>
            </w:tcBorders>
            <w:vAlign w:val="center"/>
          </w:tcPr>
          <w:p>
            <w:pPr>
              <w:pStyle w:val="TableContents"/>
              <w:bidi w:val="0"/>
              <w:spacing w:before="0" w:after="0"/>
              <w:jc w:val="left"/>
              <w:rPr>
                <w:b/>
              </w:rPr>
            </w:pPr>
            <w:r>
              <w:rPr>
                <w:b/>
              </w:rPr>
              <w:t>CHECK THE APPROPRIATE BOX IF A MEMBER OF A GROUP (SEE INSTRUCTIONS)</w:t>
            </w:r>
          </w:p>
          <w:p>
            <w:pPr>
              <w:pStyle w:val="TableContents"/>
              <w:bidi w:val="0"/>
              <w:spacing w:before="0" w:after="0"/>
              <w:jc w:val="left"/>
              <w:rPr/>
            </w:pPr>
            <w:r>
              <w:rPr/>
              <w:t>(a) ☐</w:t>
            </w:r>
          </w:p>
          <w:p>
            <w:pPr>
              <w:pStyle w:val="TableContents"/>
              <w:bidi w:val="0"/>
              <w:spacing w:before="0" w:after="0"/>
              <w:jc w:val="left"/>
              <w:rPr/>
            </w:pPr>
            <w:r>
              <w:rPr/>
              <w:t>(b) ☐</w:t>
            </w:r>
          </w:p>
        </w:tc>
      </w:tr>
      <w:tr>
        <w:trPr/>
        <w:tc>
          <w:tcPr>
            <w:tcW w:w="4103" w:type="dxa"/>
            <w:tcBorders>
              <w:bottom w:val="single" w:sz="12" w:space="0" w:color="000000"/>
            </w:tcBorders>
            <w:vAlign w:val="center"/>
          </w:tcPr>
          <w:p>
            <w:pPr>
              <w:pStyle w:val="TableContents"/>
              <w:bidi w:val="0"/>
              <w:spacing w:before="0" w:after="0"/>
              <w:jc w:val="center"/>
              <w:rPr/>
            </w:pPr>
            <w:r>
              <w:rPr/>
              <w:t>3</w:t>
            </w:r>
          </w:p>
        </w:tc>
        <w:tc>
          <w:tcPr>
            <w:tcW w:w="6102" w:type="dxa"/>
            <w:gridSpan w:val="3"/>
            <w:tcBorders>
              <w:bottom w:val="single" w:sz="12" w:space="0" w:color="000000"/>
            </w:tcBorders>
            <w:vAlign w:val="center"/>
          </w:tcPr>
          <w:p>
            <w:pPr>
              <w:pStyle w:val="TableContents"/>
              <w:bidi w:val="0"/>
              <w:spacing w:before="0" w:after="0"/>
              <w:jc w:val="left"/>
              <w:rPr>
                <w:b/>
              </w:rPr>
            </w:pPr>
            <w:r>
              <w:rPr>
                <w:b/>
              </w:rPr>
              <w:t>SEC USE ONLY</w:t>
            </w:r>
          </w:p>
          <w:p>
            <w:pPr>
              <w:pStyle w:val="TableContents"/>
              <w:bidi w:val="0"/>
              <w:spacing w:before="0" w:after="0"/>
              <w:jc w:val="left"/>
              <w:rPr/>
            </w:pPr>
            <w:r>
              <w:rPr/>
              <w:t> </w:t>
            </w:r>
          </w:p>
        </w:tc>
      </w:tr>
      <w:tr>
        <w:trPr/>
        <w:tc>
          <w:tcPr>
            <w:tcW w:w="4103" w:type="dxa"/>
            <w:tcBorders>
              <w:bottom w:val="single" w:sz="12" w:space="0" w:color="000000"/>
            </w:tcBorders>
            <w:vAlign w:val="center"/>
          </w:tcPr>
          <w:p>
            <w:pPr>
              <w:pStyle w:val="TableContents"/>
              <w:bidi w:val="0"/>
              <w:spacing w:before="0" w:after="0"/>
              <w:jc w:val="center"/>
              <w:rPr/>
            </w:pPr>
            <w:r>
              <w:rPr/>
              <w:t>4</w:t>
            </w:r>
          </w:p>
        </w:tc>
        <w:tc>
          <w:tcPr>
            <w:tcW w:w="6102" w:type="dxa"/>
            <w:gridSpan w:val="3"/>
            <w:tcBorders>
              <w:bottom w:val="single" w:sz="12" w:space="0" w:color="000000"/>
            </w:tcBorders>
            <w:vAlign w:val="center"/>
          </w:tcPr>
          <w:p>
            <w:pPr>
              <w:pStyle w:val="TableContents"/>
              <w:bidi w:val="0"/>
              <w:spacing w:before="0" w:after="0"/>
              <w:jc w:val="left"/>
              <w:rPr>
                <w:b/>
              </w:rPr>
            </w:pPr>
            <w:r>
              <w:rPr>
                <w:b/>
              </w:rPr>
              <w:t>SOURCE OF FUNDS (SEE INSTRUCTIONS)</w:t>
            </w:r>
          </w:p>
          <w:p>
            <w:pPr>
              <w:pStyle w:val="TableContents"/>
              <w:bidi w:val="0"/>
              <w:spacing w:before="0" w:after="0"/>
              <w:ind w:left="720" w:right="0" w:hanging="0"/>
              <w:jc w:val="left"/>
              <w:rPr/>
            </w:pPr>
            <w:r>
              <w:rPr/>
              <w:t>OO</w:t>
            </w:r>
          </w:p>
        </w:tc>
      </w:tr>
      <w:tr>
        <w:trPr/>
        <w:tc>
          <w:tcPr>
            <w:tcW w:w="4103" w:type="dxa"/>
            <w:tcBorders>
              <w:bottom w:val="single" w:sz="12" w:space="0" w:color="000000"/>
            </w:tcBorders>
            <w:vAlign w:val="center"/>
          </w:tcPr>
          <w:p>
            <w:pPr>
              <w:pStyle w:val="TableContents"/>
              <w:bidi w:val="0"/>
              <w:spacing w:before="0" w:after="0"/>
              <w:jc w:val="center"/>
              <w:rPr/>
            </w:pPr>
            <w:r>
              <w:rPr/>
              <w:t>5</w:t>
            </w:r>
          </w:p>
        </w:tc>
        <w:tc>
          <w:tcPr>
            <w:tcW w:w="6102" w:type="dxa"/>
            <w:gridSpan w:val="3"/>
            <w:tcBorders>
              <w:bottom w:val="single" w:sz="12" w:space="0" w:color="000000"/>
            </w:tcBorders>
            <w:vAlign w:val="center"/>
          </w:tcPr>
          <w:p>
            <w:pPr>
              <w:pStyle w:val="TableContents"/>
              <w:bidi w:val="0"/>
              <w:spacing w:before="0" w:after="0"/>
              <w:jc w:val="left"/>
              <w:rPr>
                <w:b/>
              </w:rPr>
            </w:pPr>
            <w:r>
              <w:rPr>
                <w:b/>
              </w:rPr>
              <w:t>CHECK IF DISCLOSURE OF LEGAL PROCEEDINGS IS REQUIRED TO ITEMS 2(D) OR 2(E)</w:t>
            </w:r>
          </w:p>
          <w:p>
            <w:pPr>
              <w:pStyle w:val="TableContents"/>
              <w:bidi w:val="0"/>
              <w:spacing w:before="0" w:after="0"/>
              <w:jc w:val="left"/>
              <w:rPr/>
            </w:pPr>
            <w:r>
              <w:rPr/>
              <w:t>☐</w:t>
            </w:r>
          </w:p>
        </w:tc>
      </w:tr>
      <w:tr>
        <w:trPr/>
        <w:tc>
          <w:tcPr>
            <w:tcW w:w="4103" w:type="dxa"/>
            <w:tcBorders>
              <w:bottom w:val="single" w:sz="12" w:space="0" w:color="000000"/>
            </w:tcBorders>
            <w:vAlign w:val="center"/>
          </w:tcPr>
          <w:p>
            <w:pPr>
              <w:pStyle w:val="TableContents"/>
              <w:bidi w:val="0"/>
              <w:spacing w:before="0" w:after="0"/>
              <w:jc w:val="center"/>
              <w:rPr/>
            </w:pPr>
            <w:r>
              <w:rPr/>
              <w:t>6</w:t>
            </w:r>
          </w:p>
        </w:tc>
        <w:tc>
          <w:tcPr>
            <w:tcW w:w="6102" w:type="dxa"/>
            <w:gridSpan w:val="3"/>
            <w:tcBorders>
              <w:bottom w:val="single" w:sz="12" w:space="0" w:color="000000"/>
            </w:tcBorders>
            <w:vAlign w:val="center"/>
          </w:tcPr>
          <w:p>
            <w:pPr>
              <w:pStyle w:val="TableContents"/>
              <w:bidi w:val="0"/>
              <w:spacing w:before="0" w:after="0"/>
              <w:jc w:val="left"/>
              <w:rPr>
                <w:b/>
              </w:rPr>
            </w:pPr>
            <w:r>
              <w:rPr>
                <w:b/>
              </w:rPr>
              <w:t>CITIZENSHIP OR PLACE OF ORGANIZATION</w:t>
            </w:r>
          </w:p>
          <w:p>
            <w:pPr>
              <w:pStyle w:val="TableContents"/>
              <w:bidi w:val="0"/>
              <w:spacing w:before="0" w:after="0"/>
              <w:ind w:left="720" w:right="0" w:hanging="0"/>
              <w:jc w:val="left"/>
              <w:rPr/>
            </w:pPr>
            <w:r>
              <w:rPr/>
              <w:t>Hong Kong</w:t>
            </w:r>
          </w:p>
        </w:tc>
      </w:tr>
      <w:tr>
        <w:trPr/>
        <w:tc>
          <w:tcPr>
            <w:tcW w:w="5011" w:type="dxa"/>
            <w:gridSpan w:val="2"/>
            <w:vMerge w:val="restart"/>
            <w:tcBorders>
              <w:bottom w:val="single" w:sz="12" w:space="0" w:color="000000"/>
            </w:tcBorders>
            <w:vAlign w:val="center"/>
          </w:tcPr>
          <w:p>
            <w:pPr>
              <w:pStyle w:val="TableContents"/>
              <w:bidi w:val="0"/>
              <w:spacing w:before="0" w:after="0"/>
              <w:jc w:val="center"/>
              <w:rPr>
                <w:b/>
              </w:rPr>
            </w:pPr>
            <w:r>
              <w:rPr>
                <w:b/>
              </w:rPr>
              <w:t>NUMBER OF SHARES BENEFICIALLY OWNED BY EACH REPORTING PERSON WITH</w:t>
            </w:r>
          </w:p>
        </w:tc>
        <w:tc>
          <w:tcPr>
            <w:tcW w:w="458" w:type="dxa"/>
            <w:tcBorders>
              <w:bottom w:val="single" w:sz="12" w:space="0" w:color="000000"/>
            </w:tcBorders>
            <w:vAlign w:val="center"/>
          </w:tcPr>
          <w:p>
            <w:pPr>
              <w:pStyle w:val="TableContents"/>
              <w:bidi w:val="0"/>
              <w:spacing w:before="0" w:after="0"/>
              <w:jc w:val="center"/>
              <w:rPr/>
            </w:pPr>
            <w:r>
              <w:rPr/>
              <w:t>7</w:t>
            </w:r>
          </w:p>
        </w:tc>
        <w:tc>
          <w:tcPr>
            <w:tcW w:w="4736" w:type="dxa"/>
            <w:tcBorders>
              <w:bottom w:val="single" w:sz="12" w:space="0" w:color="000000"/>
            </w:tcBorders>
            <w:vAlign w:val="center"/>
          </w:tcPr>
          <w:p>
            <w:pPr>
              <w:pStyle w:val="TableContents"/>
              <w:bidi w:val="0"/>
              <w:spacing w:before="0" w:after="0"/>
              <w:jc w:val="left"/>
              <w:rPr>
                <w:b/>
              </w:rPr>
            </w:pPr>
            <w:r>
              <w:rPr>
                <w:b/>
              </w:rPr>
              <w:t>SOLE VOTING POWER</w:t>
            </w:r>
          </w:p>
          <w:p>
            <w:pPr>
              <w:pStyle w:val="TableContents"/>
              <w:bidi w:val="0"/>
              <w:spacing w:lineRule="auto" w:line="240" w:before="0" w:after="0"/>
              <w:ind w:left="720" w:right="0" w:hanging="0"/>
              <w:jc w:val="left"/>
              <w:rPr/>
            </w:pPr>
            <w:r>
              <w:rPr/>
              <w:t>235,278,921 (1)</w:t>
            </w:r>
          </w:p>
        </w:tc>
      </w:tr>
      <w:tr>
        <w:trPr/>
        <w:tc>
          <w:tcPr>
            <w:tcW w:w="5011" w:type="dxa"/>
            <w:gridSpan w:val="2"/>
            <w:vMerge w:val="continue"/>
            <w:tcBorders>
              <w:bottom w:val="single" w:sz="12" w:space="0" w:color="000000"/>
            </w:tcBorders>
            <w:vAlign w:val="center"/>
          </w:tcPr>
          <w:p>
            <w:pPr>
              <w:pStyle w:val="Normal"/>
              <w:bidi w:val="0"/>
              <w:jc w:val="left"/>
              <w:rPr/>
            </w:pPr>
            <w:r>
              <w:rPr/>
            </w:r>
          </w:p>
        </w:tc>
        <w:tc>
          <w:tcPr>
            <w:tcW w:w="458" w:type="dxa"/>
            <w:tcBorders>
              <w:bottom w:val="single" w:sz="12" w:space="0" w:color="000000"/>
            </w:tcBorders>
            <w:vAlign w:val="center"/>
          </w:tcPr>
          <w:p>
            <w:pPr>
              <w:pStyle w:val="TableContents"/>
              <w:bidi w:val="0"/>
              <w:spacing w:before="0" w:after="0"/>
              <w:jc w:val="center"/>
              <w:rPr/>
            </w:pPr>
            <w:r>
              <w:rPr/>
              <w:t>8</w:t>
            </w:r>
          </w:p>
        </w:tc>
        <w:tc>
          <w:tcPr>
            <w:tcW w:w="4736" w:type="dxa"/>
            <w:tcBorders>
              <w:bottom w:val="single" w:sz="12" w:space="0" w:color="000000"/>
            </w:tcBorders>
            <w:vAlign w:val="center"/>
          </w:tcPr>
          <w:p>
            <w:pPr>
              <w:pStyle w:val="TableContents"/>
              <w:bidi w:val="0"/>
              <w:spacing w:before="0" w:after="0"/>
              <w:jc w:val="left"/>
              <w:rPr>
                <w:b/>
              </w:rPr>
            </w:pPr>
            <w:r>
              <w:rPr>
                <w:b/>
              </w:rPr>
              <w:t>SHARED VOTING POWER</w:t>
            </w:r>
          </w:p>
          <w:p>
            <w:pPr>
              <w:pStyle w:val="TableContents"/>
              <w:bidi w:val="0"/>
              <w:spacing w:before="0" w:after="0"/>
              <w:ind w:left="720" w:right="0" w:hanging="0"/>
              <w:jc w:val="left"/>
              <w:rPr/>
            </w:pPr>
            <w:r>
              <w:rPr/>
              <w:t>-0-</w:t>
            </w:r>
          </w:p>
        </w:tc>
      </w:tr>
      <w:tr>
        <w:trPr/>
        <w:tc>
          <w:tcPr>
            <w:tcW w:w="5011" w:type="dxa"/>
            <w:gridSpan w:val="2"/>
            <w:vMerge w:val="continue"/>
            <w:tcBorders>
              <w:bottom w:val="single" w:sz="12" w:space="0" w:color="000000"/>
            </w:tcBorders>
            <w:vAlign w:val="center"/>
          </w:tcPr>
          <w:p>
            <w:pPr>
              <w:pStyle w:val="Normal"/>
              <w:bidi w:val="0"/>
              <w:jc w:val="left"/>
              <w:rPr/>
            </w:pPr>
            <w:r>
              <w:rPr/>
            </w:r>
          </w:p>
        </w:tc>
        <w:tc>
          <w:tcPr>
            <w:tcW w:w="458" w:type="dxa"/>
            <w:tcBorders>
              <w:bottom w:val="single" w:sz="12" w:space="0" w:color="000000"/>
            </w:tcBorders>
            <w:vAlign w:val="center"/>
          </w:tcPr>
          <w:p>
            <w:pPr>
              <w:pStyle w:val="TableContents"/>
              <w:bidi w:val="0"/>
              <w:spacing w:before="0" w:after="0"/>
              <w:jc w:val="center"/>
              <w:rPr/>
            </w:pPr>
            <w:r>
              <w:rPr/>
              <w:t>9</w:t>
            </w:r>
          </w:p>
        </w:tc>
        <w:tc>
          <w:tcPr>
            <w:tcW w:w="4736" w:type="dxa"/>
            <w:tcBorders>
              <w:bottom w:val="single" w:sz="12" w:space="0" w:color="000000"/>
            </w:tcBorders>
            <w:vAlign w:val="center"/>
          </w:tcPr>
          <w:p>
            <w:pPr>
              <w:pStyle w:val="TableContents"/>
              <w:bidi w:val="0"/>
              <w:spacing w:before="0" w:after="0"/>
              <w:jc w:val="left"/>
              <w:rPr>
                <w:b/>
              </w:rPr>
            </w:pPr>
            <w:r>
              <w:rPr>
                <w:b/>
              </w:rPr>
              <w:t>SOLE DISPOSITIVE POWER</w:t>
            </w:r>
          </w:p>
          <w:p>
            <w:pPr>
              <w:pStyle w:val="TableContents"/>
              <w:bidi w:val="0"/>
              <w:spacing w:lineRule="auto" w:line="240" w:before="0" w:after="0"/>
              <w:ind w:left="720" w:right="0" w:hanging="0"/>
              <w:jc w:val="left"/>
              <w:rPr/>
            </w:pPr>
            <w:r>
              <w:rPr/>
              <w:t>235,278,921 (1)</w:t>
            </w:r>
          </w:p>
        </w:tc>
      </w:tr>
      <w:tr>
        <w:trPr/>
        <w:tc>
          <w:tcPr>
            <w:tcW w:w="5011" w:type="dxa"/>
            <w:gridSpan w:val="2"/>
            <w:vMerge w:val="continue"/>
            <w:tcBorders>
              <w:bottom w:val="single" w:sz="12" w:space="0" w:color="000000"/>
            </w:tcBorders>
            <w:vAlign w:val="center"/>
          </w:tcPr>
          <w:p>
            <w:pPr>
              <w:pStyle w:val="Normal"/>
              <w:bidi w:val="0"/>
              <w:jc w:val="left"/>
              <w:rPr/>
            </w:pPr>
            <w:r>
              <w:rPr/>
            </w:r>
          </w:p>
        </w:tc>
        <w:tc>
          <w:tcPr>
            <w:tcW w:w="458" w:type="dxa"/>
            <w:tcBorders>
              <w:bottom w:val="single" w:sz="12" w:space="0" w:color="000000"/>
            </w:tcBorders>
            <w:vAlign w:val="center"/>
          </w:tcPr>
          <w:p>
            <w:pPr>
              <w:pStyle w:val="TableContents"/>
              <w:bidi w:val="0"/>
              <w:spacing w:before="0" w:after="0"/>
              <w:jc w:val="center"/>
              <w:rPr/>
            </w:pPr>
            <w:r>
              <w:rPr/>
              <w:t>10</w:t>
            </w:r>
          </w:p>
        </w:tc>
        <w:tc>
          <w:tcPr>
            <w:tcW w:w="4736" w:type="dxa"/>
            <w:tcBorders>
              <w:bottom w:val="single" w:sz="12" w:space="0" w:color="000000"/>
            </w:tcBorders>
            <w:vAlign w:val="center"/>
          </w:tcPr>
          <w:p>
            <w:pPr>
              <w:pStyle w:val="TableContents"/>
              <w:bidi w:val="0"/>
              <w:spacing w:before="0" w:after="0"/>
              <w:jc w:val="left"/>
              <w:rPr>
                <w:b/>
              </w:rPr>
            </w:pPr>
            <w:r>
              <w:rPr>
                <w:b/>
              </w:rPr>
              <w:t>SHARED DISPOSITIVE POWER</w:t>
            </w:r>
          </w:p>
          <w:p>
            <w:pPr>
              <w:pStyle w:val="TableContents"/>
              <w:bidi w:val="0"/>
              <w:spacing w:before="0" w:after="0"/>
              <w:ind w:left="720" w:right="0" w:hanging="0"/>
              <w:jc w:val="left"/>
              <w:rPr/>
            </w:pPr>
            <w:r>
              <w:rPr/>
              <w:t>-0-</w:t>
            </w:r>
          </w:p>
        </w:tc>
      </w:tr>
      <w:tr>
        <w:trPr/>
        <w:tc>
          <w:tcPr>
            <w:tcW w:w="4103" w:type="dxa"/>
            <w:tcBorders>
              <w:bottom w:val="single" w:sz="12" w:space="0" w:color="000000"/>
            </w:tcBorders>
            <w:vAlign w:val="center"/>
          </w:tcPr>
          <w:p>
            <w:pPr>
              <w:pStyle w:val="TableContents"/>
              <w:bidi w:val="0"/>
              <w:spacing w:before="0" w:after="0"/>
              <w:jc w:val="center"/>
              <w:rPr/>
            </w:pPr>
            <w:r>
              <w:rPr/>
              <w:t>11</w:t>
            </w:r>
          </w:p>
        </w:tc>
        <w:tc>
          <w:tcPr>
            <w:tcW w:w="6102" w:type="dxa"/>
            <w:gridSpan w:val="3"/>
            <w:tcBorders>
              <w:bottom w:val="single" w:sz="12" w:space="0" w:color="000000"/>
            </w:tcBorders>
            <w:vAlign w:val="center"/>
          </w:tcPr>
          <w:p>
            <w:pPr>
              <w:pStyle w:val="TableContents"/>
              <w:bidi w:val="0"/>
              <w:spacing w:before="0" w:after="0"/>
              <w:jc w:val="left"/>
              <w:rPr>
                <w:b/>
              </w:rPr>
            </w:pPr>
            <w:r>
              <w:rPr>
                <w:b/>
              </w:rPr>
              <w:t>AGGREGATE AMOUNT BENEFICIALLY OWNED BY EACH REPORTING PERSON</w:t>
            </w:r>
          </w:p>
          <w:p>
            <w:pPr>
              <w:pStyle w:val="TableContents"/>
              <w:bidi w:val="0"/>
              <w:spacing w:lineRule="auto" w:line="240" w:before="0" w:after="0"/>
              <w:ind w:left="720" w:right="0" w:hanging="0"/>
              <w:jc w:val="left"/>
              <w:rPr/>
            </w:pPr>
            <w:r>
              <w:rPr/>
              <w:t>235,278,921 (1)</w:t>
            </w:r>
          </w:p>
        </w:tc>
      </w:tr>
      <w:tr>
        <w:trPr/>
        <w:tc>
          <w:tcPr>
            <w:tcW w:w="4103" w:type="dxa"/>
            <w:tcBorders>
              <w:bottom w:val="single" w:sz="12" w:space="0" w:color="000000"/>
            </w:tcBorders>
            <w:vAlign w:val="center"/>
          </w:tcPr>
          <w:p>
            <w:pPr>
              <w:pStyle w:val="TableContents"/>
              <w:bidi w:val="0"/>
              <w:spacing w:before="0" w:after="0"/>
              <w:jc w:val="center"/>
              <w:rPr/>
            </w:pPr>
            <w:r>
              <w:rPr/>
              <w:t>12</w:t>
            </w:r>
          </w:p>
        </w:tc>
        <w:tc>
          <w:tcPr>
            <w:tcW w:w="6102" w:type="dxa"/>
            <w:gridSpan w:val="3"/>
            <w:tcBorders>
              <w:bottom w:val="single" w:sz="12" w:space="0" w:color="000000"/>
            </w:tcBorders>
            <w:vAlign w:val="center"/>
          </w:tcPr>
          <w:p>
            <w:pPr>
              <w:pStyle w:val="TableContents"/>
              <w:bidi w:val="0"/>
              <w:spacing w:before="0" w:after="0"/>
              <w:jc w:val="left"/>
              <w:rPr>
                <w:b/>
              </w:rPr>
            </w:pPr>
            <w:r>
              <w:rPr>
                <w:b/>
              </w:rPr>
              <w:t>CHECK IF THE AGGREGATE AMOUNT IN ROW (11) EXCLUDES CERTAIN SHARES (SEE INSTRUCTIONS)</w:t>
            </w:r>
          </w:p>
          <w:p>
            <w:pPr>
              <w:pStyle w:val="TableContents"/>
              <w:bidi w:val="0"/>
              <w:spacing w:before="0" w:after="0"/>
              <w:jc w:val="left"/>
              <w:rPr/>
            </w:pPr>
            <w:r>
              <w:rPr/>
              <w:t>☐</w:t>
            </w:r>
          </w:p>
        </w:tc>
      </w:tr>
      <w:tr>
        <w:trPr/>
        <w:tc>
          <w:tcPr>
            <w:tcW w:w="4103" w:type="dxa"/>
            <w:tcBorders>
              <w:bottom w:val="single" w:sz="12" w:space="0" w:color="000000"/>
            </w:tcBorders>
            <w:vAlign w:val="center"/>
          </w:tcPr>
          <w:p>
            <w:pPr>
              <w:pStyle w:val="TableContents"/>
              <w:bidi w:val="0"/>
              <w:spacing w:before="0" w:after="0"/>
              <w:jc w:val="center"/>
              <w:rPr/>
            </w:pPr>
            <w:r>
              <w:rPr/>
              <w:t>13</w:t>
            </w:r>
          </w:p>
        </w:tc>
        <w:tc>
          <w:tcPr>
            <w:tcW w:w="6102" w:type="dxa"/>
            <w:gridSpan w:val="3"/>
            <w:tcBorders>
              <w:bottom w:val="single" w:sz="12" w:space="0" w:color="000000"/>
            </w:tcBorders>
            <w:vAlign w:val="center"/>
          </w:tcPr>
          <w:p>
            <w:pPr>
              <w:pStyle w:val="TableContents"/>
              <w:bidi w:val="0"/>
              <w:spacing w:before="0" w:after="0"/>
              <w:jc w:val="left"/>
              <w:rPr>
                <w:b/>
              </w:rPr>
            </w:pPr>
            <w:r>
              <w:rPr>
                <w:b/>
              </w:rPr>
              <w:t>PERCENT OF CLASS REPRESENTED BY AMOUNT IN ROW (11)</w:t>
            </w:r>
          </w:p>
          <w:p>
            <w:pPr>
              <w:pStyle w:val="TableContents"/>
              <w:bidi w:val="0"/>
              <w:spacing w:lineRule="auto" w:line="240" w:before="0" w:after="0"/>
              <w:ind w:left="720" w:right="0" w:hanging="0"/>
              <w:jc w:val="left"/>
              <w:rPr/>
            </w:pPr>
            <w:r>
              <w:rPr/>
              <w:t>25.4% (2)</w:t>
            </w:r>
          </w:p>
        </w:tc>
      </w:tr>
      <w:tr>
        <w:trPr/>
        <w:tc>
          <w:tcPr>
            <w:tcW w:w="4103" w:type="dxa"/>
            <w:tcBorders>
              <w:bottom w:val="single" w:sz="12" w:space="0" w:color="000000"/>
            </w:tcBorders>
            <w:vAlign w:val="center"/>
          </w:tcPr>
          <w:p>
            <w:pPr>
              <w:pStyle w:val="TableContents"/>
              <w:bidi w:val="0"/>
              <w:spacing w:before="0" w:after="0"/>
              <w:jc w:val="center"/>
              <w:rPr/>
            </w:pPr>
            <w:r>
              <w:rPr/>
              <w:t>14</w:t>
            </w:r>
          </w:p>
        </w:tc>
        <w:tc>
          <w:tcPr>
            <w:tcW w:w="6102" w:type="dxa"/>
            <w:gridSpan w:val="3"/>
            <w:tcBorders>
              <w:bottom w:val="single" w:sz="12" w:space="0" w:color="000000"/>
            </w:tcBorders>
            <w:vAlign w:val="center"/>
          </w:tcPr>
          <w:p>
            <w:pPr>
              <w:pStyle w:val="TableContents"/>
              <w:bidi w:val="0"/>
              <w:spacing w:before="0" w:after="0"/>
              <w:jc w:val="left"/>
              <w:rPr>
                <w:b/>
              </w:rPr>
            </w:pPr>
            <w:r>
              <w:rPr>
                <w:b/>
              </w:rPr>
              <w:t>TYPE OF REPORTING PERSON (SEE INSTRUCTIONS)</w:t>
            </w:r>
          </w:p>
          <w:p>
            <w:pPr>
              <w:pStyle w:val="TableContents"/>
              <w:bidi w:val="0"/>
              <w:spacing w:before="0" w:after="0"/>
              <w:ind w:left="720" w:right="0" w:hanging="0"/>
              <w:jc w:val="left"/>
              <w:rPr/>
            </w:pPr>
            <w:r>
              <w:rPr/>
              <w:t>HC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a4e7c9c803cf4b868417a8909df10e95"/>
      <w:bookmarkStart w:id="7" w:name="za4e7c9c803cf4b868417a8909df10e95"/>
      <w:bookmarkEnd w:id="7"/>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lineRule="auto" w:line="240" w:before="0" w:after="283"/>
              <w:jc w:val="left"/>
              <w:rPr/>
            </w:pPr>
            <w:r>
              <w:rPr/>
              <w:t>(1)</w:t>
            </w:r>
          </w:p>
        </w:tc>
        <w:tc>
          <w:tcPr>
            <w:tcW w:w="9955" w:type="dxa"/>
            <w:tcBorders/>
            <w:vAlign w:val="center"/>
          </w:tcPr>
          <w:p>
            <w:pPr>
              <w:pStyle w:val="TableContents"/>
              <w:bidi w:val="0"/>
              <w:spacing w:before="0" w:after="0"/>
              <w:jc w:val="left"/>
              <w:rPr/>
            </w:pPr>
            <w:r>
              <w:rPr/>
              <w:t>As of the date of the events which require the filing of this Schedule 13D, the Reporting Person beneficially owns 235,278,921 shares of common stock, which includes (i) 225,212,112 shares of common stock held directly by the Reporting Person; and (ii) a common stock purchase warrant to acquire 10,066,809 shares of common stock at $0.07 per share.</w:t>
            </w:r>
          </w:p>
        </w:tc>
      </w:tr>
    </w:tbl>
    <w:p>
      <w:pPr>
        <w:pStyle w:val="Normal"/>
        <w:bidi w:val="0"/>
        <w:spacing w:before="0" w:after="0"/>
        <w:jc w:val="left"/>
        <w:rPr>
          <w:sz w:val="4"/>
          <w:szCs w:val="4"/>
        </w:rPr>
      </w:pPr>
      <w:r>
        <w:rPr>
          <w:sz w:val="4"/>
          <w:szCs w:val="4"/>
        </w:rPr>
      </w:r>
      <w:bookmarkStart w:id="8" w:name="z8f5011f2c0424811a221dc2e78c83fc1"/>
      <w:bookmarkStart w:id="9" w:name="z8f5011f2c0424811a221dc2e78c83fc1"/>
      <w:bookmarkEnd w:id="9"/>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lineRule="auto" w:line="240" w:before="0" w:after="283"/>
              <w:jc w:val="left"/>
              <w:rPr/>
            </w:pPr>
            <w:r>
              <w:rPr/>
              <w:t>(2)</w:t>
            </w:r>
          </w:p>
        </w:tc>
        <w:tc>
          <w:tcPr>
            <w:tcW w:w="9946" w:type="dxa"/>
            <w:tcBorders/>
            <w:vAlign w:val="center"/>
          </w:tcPr>
          <w:p>
            <w:pPr>
              <w:pStyle w:val="TableContents"/>
              <w:bidi w:val="0"/>
              <w:spacing w:before="0" w:after="0"/>
              <w:jc w:val="left"/>
              <w:rPr/>
            </w:pPr>
            <w:r>
              <w:rPr/>
              <w:t>Percentage of class calculated based on an aggregate of 917,285,149 shares issued and outstanding as of August 13, 2024, as disclosed in the Issuer’s Form 10-Q for the quarterly period ended June 30, 2024, filed with the SEC on August 13, 2024.</w:t>
            </w:r>
          </w:p>
        </w:tc>
      </w:tr>
    </w:tbl>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 of 5</w:t>
      </w:r>
    </w:p>
    <w:p>
      <w:pPr>
        <w:pStyle w:val="HorizontalLine"/>
        <w:pBdr>
          <w:bottom w:val="single" w:sz="12" w:space="0" w:color="808080"/>
        </w:pBdr>
        <w:bidi w:val="0"/>
        <w:spacing w:before="200" w:after="200"/>
        <w:jc w:val="left"/>
        <w:rPr/>
      </w:pPr>
      <w:r>
        <w:rPr/>
      </w:r>
    </w:p>
    <w:p>
      <w:pPr>
        <w:pStyle w:val="TextBody"/>
        <w:bidi w:val="0"/>
        <w:spacing w:before="0" w:after="200"/>
        <w:jc w:val="left"/>
        <w:rPr/>
      </w:pPr>
      <w:r>
        <w:rPr/>
      </w:r>
    </w:p>
    <w:p>
      <w:pPr>
        <w:pStyle w:val="TextBody"/>
        <w:bidi w:val="0"/>
        <w:spacing w:before="0" w:after="200"/>
        <w:jc w:val="center"/>
        <w:rPr>
          <w:rFonts w:ascii="Times New Roman;Times;serif" w:hAnsi="Times New Roman;Times;serif"/>
          <w:b/>
          <w:color w:val="000000"/>
          <w:sz w:val="20"/>
        </w:rPr>
      </w:pPr>
      <w:r>
        <w:rPr>
          <w:rFonts w:ascii="Times New Roman;Times;serif" w:hAnsi="Times New Roman;Times;serif"/>
          <w:b/>
          <w:color w:val="000000"/>
          <w:sz w:val="20"/>
        </w:rPr>
        <w:t>AMENDMENT NO. 1 TO SCHEDULE 13D</w:t>
      </w:r>
    </w:p>
    <w:p>
      <w:pPr>
        <w:pStyle w:val="TextBody"/>
        <w:bidi w:val="0"/>
        <w:spacing w:before="0" w:after="20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Explanatory Note</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This Amendment No. 1 to Schedule 13D (“Amendment No. 1”) amends and supplements the initial statement on Schedule 13D relating to the Common Stock of Liquidmetal Technologies, Inc., a Delaware corporation (the “Issuer”) filed with the Securities and Exchange Commission (“Commission”) on March 17, 2016 by and on behalf of Liquidmetal Technology Limited, a Hong Kong corporation (“Reporting Person”) (as amended by Amendment No. 1, the “Schedule 13D”). Except as otherwise set forth herein, this Amendment No. 1 does not modify any information previously reported by the Reporting Person in the Schedule 13D.</w:t>
      </w:r>
    </w:p>
    <w:p>
      <w:pPr>
        <w:pStyle w:val="TextBody"/>
        <w:bidi w:val="0"/>
        <w:spacing w:before="0" w:after="200"/>
        <w:jc w:val="left"/>
        <w:rPr>
          <w:rFonts w:ascii="Times New Roman;Times;serif" w:hAnsi="Times New Roman;Times;serif"/>
          <w:b/>
          <w:color w:val="000000"/>
          <w:sz w:val="20"/>
        </w:rPr>
      </w:pPr>
      <w:r>
        <w:rPr>
          <w:rFonts w:ascii="Times New Roman;Times;serif" w:hAnsi="Times New Roman;Times;serif"/>
          <w:b/>
          <w:color w:val="000000"/>
          <w:sz w:val="20"/>
        </w:rPr>
        <w:t>Item 1. Security and Issuer.</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This Schedule 13D relates to the Common Stock, par value $0.001 per share (the “Common Stock”), of the Issuer. The Issuer’s principal executive offices are located at 20321 Valencia Circle, Lake Forest, CA 92630.</w:t>
      </w:r>
    </w:p>
    <w:p>
      <w:pPr>
        <w:pStyle w:val="TextBody"/>
        <w:bidi w:val="0"/>
        <w:spacing w:before="0" w:after="200"/>
        <w:jc w:val="left"/>
        <w:rPr>
          <w:rFonts w:ascii="Times New Roman;Times;serif" w:hAnsi="Times New Roman;Times;serif"/>
          <w:b/>
          <w:color w:val="000000"/>
          <w:sz w:val="20"/>
        </w:rPr>
      </w:pPr>
      <w:r>
        <w:rPr>
          <w:rFonts w:ascii="Times New Roman;Times;serif" w:hAnsi="Times New Roman;Times;serif"/>
          <w:b/>
          <w:color w:val="000000"/>
          <w:sz w:val="20"/>
        </w:rPr>
        <w:t>Item 2. Identity and Background.</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This statement is being filed by and on behalf of the Reporting Person.</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The address of the principal office of the Reporting Person is Room 906, Tai Tung Building, 8 Fleming Road, Wanchai, Hong Kong.</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Reporting Person is a Hong Kong corporation.</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Reporting Person is an accredited investor.</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During the last five years, the Reporting Person has not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pStyle w:val="TextBody"/>
        <w:bidi w:val="0"/>
        <w:spacing w:before="0" w:after="200"/>
        <w:jc w:val="left"/>
        <w:rPr>
          <w:rFonts w:ascii="Times New Roman;Times;serif" w:hAnsi="Times New Roman;Times;serif"/>
          <w:b/>
          <w:color w:val="000000"/>
          <w:sz w:val="20"/>
        </w:rPr>
      </w:pPr>
      <w:r>
        <w:rPr>
          <w:rFonts w:ascii="Times New Roman;Times;serif" w:hAnsi="Times New Roman;Times;serif"/>
          <w:b/>
          <w:color w:val="000000"/>
          <w:sz w:val="20"/>
        </w:rPr>
        <w:t>Item 3. Source and Amount of Funds or Other Consideration.</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Item 3 of Schedule 13D is supplemented as follows:</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Pursuant to the Purchase Agreements (as defined below), each of the Purchasers (as defined below) acquired the securities from the Reporting Person in exchange for an executed and delivered promissory note.</w:t>
      </w:r>
    </w:p>
    <w:p>
      <w:pPr>
        <w:pStyle w:val="TextBody"/>
        <w:bidi w:val="0"/>
        <w:spacing w:before="0" w:after="200"/>
        <w:jc w:val="left"/>
        <w:rPr>
          <w:rFonts w:ascii="Times New Roman;Times;serif" w:hAnsi="Times New Roman;Times;serif"/>
          <w:b/>
          <w:color w:val="000000"/>
          <w:sz w:val="20"/>
        </w:rPr>
      </w:pPr>
      <w:r>
        <w:rPr>
          <w:rFonts w:ascii="Times New Roman;Times;serif" w:hAnsi="Times New Roman;Times;serif"/>
          <w:b/>
          <w:color w:val="000000"/>
          <w:sz w:val="20"/>
        </w:rPr>
        <w:t>Item 4. Purpose of Transaction.</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Item 4 of Schedule 13D is supplemented and superseded, as the case may be, as follows:</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u w:val="single"/>
        </w:rPr>
        <w:t>Sale of Common Stock</w:t>
      </w:r>
      <w:r>
        <w:rPr>
          <w:rFonts w:ascii="Times New Roman;Times;serif" w:hAnsi="Times New Roman;Times;serif"/>
          <w:color w:val="000000"/>
          <w:sz w:val="20"/>
        </w:rPr>
        <w:t>: The Reporting Person sold shares of Common Stock of the Issuer to four third-party purchasers (the “Purchasers”) in four private transactions, each pursuant to a Stock Purchase Agreement dated October 10, 2024 (the “Purchase Agreements”). The Reporting Person sold 44,946,972 shares of Common Stock to each Purchaser. Following the sale of the shares of Common Stock, the Reporting Person now beneficially owns 235,278,921 shares of Common Stock.</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The shares of Common Stock were transferred to each of the Purchasers on October 10, 2024, and the transactions described in this Item 4 were effected at the same time.</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u w:val="single"/>
        </w:rPr>
        <w:t>Investment Purposes</w:t>
      </w:r>
      <w:r>
        <w:rPr>
          <w:rFonts w:ascii="Times New Roman;Times;serif" w:hAnsi="Times New Roman;Times;serif"/>
          <w:color w:val="000000"/>
          <w:sz w:val="20"/>
        </w:rPr>
        <w:t>: The Reporting Person sold the Shares of the Issuer to the Purchasers in the Reporting Person’s ordinary course of business. Except as set forth herein, the Reporting Person does not have any present plan or proposal that would relate to or result in any of the matters set forth in subparagraphs (a)-(j) of Item 4 of Schedule 13D. The Reporting Person reserves the right to acquire additional securities of the Issuer, to dispose of additional securities of the Issuer at any time or to formulate other purposes, plans or proposals regarding the Issuer or any of its securities.</w:t>
      </w:r>
    </w:p>
    <w:p>
      <w:pPr>
        <w:pStyle w:val="TextBody"/>
        <w:bidi w:val="0"/>
        <w:spacing w:before="0" w:after="200"/>
        <w:jc w:val="left"/>
        <w:rPr>
          <w:rFonts w:ascii="Times New Roman;Times;serif" w:hAnsi="Times New Roman;Times;serif"/>
          <w:b/>
          <w:color w:val="000000"/>
          <w:sz w:val="20"/>
        </w:rPr>
      </w:pPr>
      <w:r>
        <w:rPr>
          <w:rFonts w:ascii="Times New Roman;Times;serif" w:hAnsi="Times New Roman;Times;serif"/>
          <w:b/>
          <w:color w:val="000000"/>
          <w:sz w:val="20"/>
        </w:rPr>
        <w:t>Item 5. Interest in Securities of the Issuer.</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Item 5 of Schedule 13D is supplemented and superseded, as the case may be, as follows:</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(a) The percentages used in this Schedule 13D are calculated on the basis of 917,285,149 Shares outstanding, as reported in the Issuer’s Form 10-Q for the quarterly period ended June 30, 2024, filed with the Commission on August 13, 2024. As of October 10, 2024, the Reporting Person beneficially owned an aggregate of 235,278,921 or 25.6% of Issuer’s common stock.</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 of 5</w:t>
      </w:r>
    </w:p>
    <w:p>
      <w:pPr>
        <w:pStyle w:val="HorizontalLine"/>
        <w:pBdr>
          <w:bottom w:val="single" w:sz="12" w:space="0" w:color="808080"/>
        </w:pBdr>
        <w:bidi w:val="0"/>
        <w:spacing w:before="200" w:after="200"/>
        <w:jc w:val="left"/>
        <w:rPr/>
      </w:pPr>
      <w:r>
        <w:rPr/>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(b) The information contained in table form in Rows 7 through 11 on page 2 hereof, which relates to beneficial ownership, voting and disposition of Shares, is hereby incorporated by reference.</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(c) Except as described in this Schedule 13D, the Reporting Person has not effectuated any other transactions involving the Securities in the last 60 days.</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(d) Yeung Tak Lugee Li, a citizen of Hong Kong, is the sole shareholder, executive officer and director of the Reporting Person and has the power to direct the receipt of proceeds from the sale of the shares of Common Stock.</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(e) Not applicable.</w:t>
      </w:r>
    </w:p>
    <w:p>
      <w:pPr>
        <w:pStyle w:val="TextBody"/>
        <w:bidi w:val="0"/>
        <w:spacing w:before="0" w:after="200"/>
        <w:jc w:val="left"/>
        <w:rPr>
          <w:rFonts w:ascii="Times New Roman;Times;serif" w:hAnsi="Times New Roman;Times;serif"/>
          <w:b/>
          <w:color w:val="000000"/>
          <w:sz w:val="20"/>
        </w:rPr>
      </w:pPr>
      <w:r>
        <w:rPr>
          <w:rFonts w:ascii="Times New Roman;Times;serif" w:hAnsi="Times New Roman;Times;serif"/>
          <w:b/>
          <w:color w:val="000000"/>
          <w:sz w:val="20"/>
        </w:rPr>
        <w:t>Item 6. Contracts, Arrangements, Understandings or Relationships with Respect to Securities of the Issuer.</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Item 6 of Schedule 13D is supplemented as follows:</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u w:val="single"/>
        </w:rPr>
        <w:t>Purchase Agreement</w:t>
      </w:r>
      <w:r>
        <w:rPr>
          <w:rFonts w:ascii="Times New Roman;Times;serif" w:hAnsi="Times New Roman;Times;serif"/>
          <w:color w:val="000000"/>
          <w:sz w:val="20"/>
        </w:rPr>
        <w:t>. As described in Item 4, the Reporting Person entered into a Purchase Agreement with each Purchaser.</w:t>
      </w:r>
    </w:p>
    <w:p>
      <w:pPr>
        <w:pStyle w:val="TextBody"/>
        <w:bidi w:val="0"/>
        <w:spacing w:before="0" w:after="200"/>
        <w:jc w:val="left"/>
        <w:rPr>
          <w:rFonts w:ascii="Times New Roman;Times;serif" w:hAnsi="Times New Roman;Times;serif"/>
          <w:b/>
          <w:color w:val="000000"/>
          <w:sz w:val="20"/>
        </w:rPr>
      </w:pPr>
      <w:r>
        <w:rPr>
          <w:rFonts w:ascii="Times New Roman;Times;serif" w:hAnsi="Times New Roman;Times;serif"/>
          <w:b/>
          <w:color w:val="000000"/>
          <w:sz w:val="20"/>
        </w:rPr>
        <w:t>Item 7. Material to be Filed as Exhibits.</w:t>
      </w:r>
    </w:p>
    <w:p>
      <w:pPr>
        <w:pStyle w:val="Normal"/>
        <w:bidi w:val="0"/>
        <w:spacing w:before="0" w:after="0"/>
        <w:jc w:val="left"/>
        <w:rPr>
          <w:sz w:val="4"/>
          <w:szCs w:val="4"/>
        </w:rPr>
      </w:pPr>
      <w:r>
        <w:rPr>
          <w:sz w:val="4"/>
          <w:szCs w:val="4"/>
        </w:rPr>
      </w:r>
      <w:bookmarkStart w:id="10" w:name="z3cb0d48734cf4521b3aa87ff73acc1d4"/>
      <w:bookmarkStart w:id="11" w:name="z3cb0d48734cf4521b3aa87ff73acc1d4"/>
      <w:bookmarkEnd w:id="11"/>
    </w:p>
    <w:tbl>
      <w:tblPr>
        <w:tblW w:w="10205" w:type="dxa"/>
        <w:jc w:val="left"/>
        <w:tblInd w:w="0" w:type="dxa"/>
        <w:tblLayout w:type="fixed"/>
        <w:tblCellMar>
          <w:top w:w="0" w:type="dxa"/>
          <w:left w:w="0" w:type="dxa"/>
          <w:bottom w:w="0" w:type="dxa"/>
          <w:right w:w="0" w:type="dxa"/>
        </w:tblCellMar>
      </w:tblPr>
      <w:tblGrid>
        <w:gridCol w:w="1018"/>
        <w:gridCol w:w="60"/>
        <w:gridCol w:w="9127"/>
      </w:tblGrid>
      <w:tr>
        <w:trPr/>
        <w:tc>
          <w:tcPr>
            <w:tcW w:w="1018" w:type="dxa"/>
            <w:tcBorders/>
            <w:vAlign w:val="center"/>
          </w:tcPr>
          <w:p>
            <w:pPr>
              <w:pStyle w:val="TableContents"/>
              <w:bidi w:val="0"/>
              <w:spacing w:before="0" w:after="0"/>
              <w:jc w:val="left"/>
              <w:rPr/>
            </w:pPr>
            <w:r>
              <w:rPr/>
              <w:t>Exhibit No.</w:t>
            </w:r>
          </w:p>
        </w:tc>
        <w:tc>
          <w:tcPr>
            <w:tcW w:w="60" w:type="dxa"/>
            <w:tcBorders/>
            <w:vAlign w:val="center"/>
          </w:tcPr>
          <w:p>
            <w:pPr>
              <w:pStyle w:val="TableContents"/>
              <w:bidi w:val="0"/>
              <w:spacing w:before="0" w:after="283"/>
              <w:jc w:val="left"/>
              <w:rPr/>
            </w:pPr>
            <w:r>
              <w:rPr/>
              <w:t> </w:t>
            </w:r>
          </w:p>
        </w:tc>
        <w:tc>
          <w:tcPr>
            <w:tcW w:w="9127" w:type="dxa"/>
            <w:tcBorders/>
            <w:vAlign w:val="center"/>
          </w:tcPr>
          <w:p>
            <w:pPr>
              <w:pStyle w:val="TableContents"/>
              <w:bidi w:val="0"/>
              <w:spacing w:before="0" w:after="0"/>
              <w:jc w:val="left"/>
              <w:rPr/>
            </w:pPr>
            <w:r>
              <w:rPr/>
              <w:t>Description of Exhibit</w:t>
            </w:r>
          </w:p>
        </w:tc>
      </w:tr>
      <w:tr>
        <w:trPr/>
        <w:tc>
          <w:tcPr>
            <w:tcW w:w="1018" w:type="dxa"/>
            <w:tcBorders/>
            <w:vAlign w:val="center"/>
          </w:tcPr>
          <w:p>
            <w:pPr>
              <w:pStyle w:val="TableContents"/>
              <w:bidi w:val="0"/>
              <w:spacing w:before="0" w:after="0"/>
              <w:jc w:val="left"/>
              <w:rPr/>
            </w:pPr>
            <w:r>
              <w:rPr/>
              <w:t>4.1</w:t>
            </w:r>
          </w:p>
        </w:tc>
        <w:tc>
          <w:tcPr>
            <w:tcW w:w="60" w:type="dxa"/>
            <w:tcBorders/>
            <w:vAlign w:val="center"/>
          </w:tcPr>
          <w:p>
            <w:pPr>
              <w:pStyle w:val="TableContents"/>
              <w:bidi w:val="0"/>
              <w:spacing w:before="0" w:after="283"/>
              <w:jc w:val="left"/>
              <w:rPr/>
            </w:pPr>
            <w:r>
              <w:rPr/>
              <w:t> </w:t>
            </w:r>
          </w:p>
        </w:tc>
        <w:tc>
          <w:tcPr>
            <w:tcW w:w="9127" w:type="dxa"/>
            <w:tcBorders/>
            <w:vAlign w:val="center"/>
          </w:tcPr>
          <w:p>
            <w:pPr>
              <w:pStyle w:val="TableContents"/>
              <w:bidi w:val="0"/>
              <w:spacing w:before="0" w:after="0"/>
              <w:jc w:val="left"/>
              <w:rPr/>
            </w:pPr>
            <w:r>
              <w:rPr/>
              <w:t>Stock Purchase Agreement dated October 10, 2024, by and between Lutos Capital, LLC and Liquidmetal Technology Limited</w:t>
            </w:r>
          </w:p>
        </w:tc>
      </w:tr>
      <w:tr>
        <w:trPr/>
        <w:tc>
          <w:tcPr>
            <w:tcW w:w="1018" w:type="dxa"/>
            <w:tcBorders/>
            <w:vAlign w:val="center"/>
          </w:tcPr>
          <w:p>
            <w:pPr>
              <w:pStyle w:val="TableContents"/>
              <w:bidi w:val="0"/>
              <w:spacing w:before="0" w:after="0"/>
              <w:jc w:val="left"/>
              <w:rPr/>
            </w:pPr>
            <w:r>
              <w:rPr/>
              <w:t>4.2</w:t>
            </w:r>
          </w:p>
        </w:tc>
        <w:tc>
          <w:tcPr>
            <w:tcW w:w="60" w:type="dxa"/>
            <w:tcBorders/>
            <w:vAlign w:val="center"/>
          </w:tcPr>
          <w:p>
            <w:pPr>
              <w:pStyle w:val="TableContents"/>
              <w:bidi w:val="0"/>
              <w:spacing w:before="0" w:after="283"/>
              <w:jc w:val="left"/>
              <w:rPr/>
            </w:pPr>
            <w:r>
              <w:rPr/>
              <w:t> </w:t>
            </w:r>
          </w:p>
        </w:tc>
        <w:tc>
          <w:tcPr>
            <w:tcW w:w="9127" w:type="dxa"/>
            <w:tcBorders/>
            <w:vAlign w:val="center"/>
          </w:tcPr>
          <w:p>
            <w:pPr>
              <w:pStyle w:val="TableContents"/>
              <w:bidi w:val="0"/>
              <w:spacing w:before="0" w:after="0"/>
              <w:jc w:val="left"/>
              <w:rPr/>
            </w:pPr>
            <w:r>
              <w:rPr/>
              <w:t>Stock Purchase Agreement dated October 10, 2024, by and between Matana Ventures, LLC and Liquidmetal Technology Limited</w:t>
            </w:r>
          </w:p>
        </w:tc>
      </w:tr>
      <w:tr>
        <w:trPr/>
        <w:tc>
          <w:tcPr>
            <w:tcW w:w="1018" w:type="dxa"/>
            <w:tcBorders/>
            <w:vAlign w:val="center"/>
          </w:tcPr>
          <w:p>
            <w:pPr>
              <w:pStyle w:val="TableContents"/>
              <w:bidi w:val="0"/>
              <w:spacing w:before="0" w:after="0"/>
              <w:jc w:val="left"/>
              <w:rPr/>
            </w:pPr>
            <w:r>
              <w:rPr/>
              <w:t>4.3</w:t>
            </w:r>
          </w:p>
        </w:tc>
        <w:tc>
          <w:tcPr>
            <w:tcW w:w="60" w:type="dxa"/>
            <w:tcBorders/>
            <w:vAlign w:val="center"/>
          </w:tcPr>
          <w:p>
            <w:pPr>
              <w:pStyle w:val="TableContents"/>
              <w:bidi w:val="0"/>
              <w:spacing w:before="0" w:after="283"/>
              <w:jc w:val="left"/>
              <w:rPr/>
            </w:pPr>
            <w:r>
              <w:rPr/>
              <w:t> </w:t>
            </w:r>
          </w:p>
        </w:tc>
        <w:tc>
          <w:tcPr>
            <w:tcW w:w="9127" w:type="dxa"/>
            <w:tcBorders/>
            <w:vAlign w:val="center"/>
          </w:tcPr>
          <w:p>
            <w:pPr>
              <w:pStyle w:val="TableContents"/>
              <w:bidi w:val="0"/>
              <w:spacing w:before="0" w:after="0"/>
              <w:jc w:val="left"/>
              <w:rPr/>
            </w:pPr>
            <w:r>
              <w:rPr/>
              <w:t>Stock Purchase Agreement dated October 10, 2024, by and between Parnas Hills LLC and Liquidmetal Technology Limited</w:t>
            </w:r>
          </w:p>
        </w:tc>
      </w:tr>
      <w:tr>
        <w:trPr/>
        <w:tc>
          <w:tcPr>
            <w:tcW w:w="1018" w:type="dxa"/>
            <w:tcBorders>
              <w:bottom w:val="double" w:sz="8" w:space="0" w:color="000000"/>
            </w:tcBorders>
            <w:tcMar>
              <w:bottom w:w="28" w:type="dxa"/>
            </w:tcMar>
            <w:vAlign w:val="center"/>
          </w:tcPr>
          <w:p>
            <w:pPr>
              <w:pStyle w:val="TableContents"/>
              <w:bidi w:val="0"/>
              <w:spacing w:before="0" w:after="0"/>
              <w:jc w:val="left"/>
              <w:rPr/>
            </w:pPr>
            <w:r>
              <w:rPr/>
              <w:t>4.4</w:t>
            </w:r>
          </w:p>
        </w:tc>
        <w:tc>
          <w:tcPr>
            <w:tcW w:w="60" w:type="dxa"/>
            <w:tcBorders/>
            <w:vAlign w:val="center"/>
          </w:tcPr>
          <w:p>
            <w:pPr>
              <w:pStyle w:val="TableContents"/>
              <w:bidi w:val="0"/>
              <w:spacing w:before="0" w:after="283"/>
              <w:jc w:val="left"/>
              <w:rPr/>
            </w:pPr>
            <w:r>
              <w:rPr/>
              <w:t> </w:t>
            </w:r>
          </w:p>
        </w:tc>
        <w:tc>
          <w:tcPr>
            <w:tcW w:w="9127" w:type="dxa"/>
            <w:tcBorders>
              <w:bottom w:val="double" w:sz="8" w:space="0" w:color="000000"/>
            </w:tcBorders>
            <w:tcMar>
              <w:bottom w:w="28" w:type="dxa"/>
            </w:tcMar>
            <w:vAlign w:val="center"/>
          </w:tcPr>
          <w:p>
            <w:pPr>
              <w:pStyle w:val="TableContents"/>
              <w:bidi w:val="0"/>
              <w:spacing w:before="0" w:after="0"/>
              <w:jc w:val="left"/>
              <w:rPr/>
            </w:pPr>
            <w:r>
              <w:rPr/>
              <w:t>Stock Purchase Agreement dated October 10, 2024, by and between XEX International, LLC and Liquidmetal Technology Limited</w:t>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 of 5</w:t>
      </w:r>
    </w:p>
    <w:p>
      <w:pPr>
        <w:pStyle w:val="HorizontalLine"/>
        <w:pBdr>
          <w:bottom w:val="single" w:sz="12" w:space="0" w:color="808080"/>
        </w:pBdr>
        <w:bidi w:val="0"/>
        <w:spacing w:before="200" w:after="200"/>
        <w:jc w:val="left"/>
        <w:rPr/>
      </w:pPr>
      <w:r>
        <w:rPr/>
      </w:r>
    </w:p>
    <w:p>
      <w:pPr>
        <w:pStyle w:val="TextBody"/>
        <w:bidi w:val="0"/>
        <w:spacing w:before="0" w:after="20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SIGNATURE</w:t>
      </w:r>
    </w:p>
    <w:p>
      <w:pPr>
        <w:pStyle w:val="TextBody"/>
        <w:bidi w:val="0"/>
        <w:spacing w:before="0" w:after="200"/>
        <w:jc w:val="left"/>
        <w:rPr>
          <w:rFonts w:ascii="Times New Roman;Times;serif" w:hAnsi="Times New Roman;Times;serif"/>
          <w:color w:val="000000"/>
          <w:sz w:val="20"/>
        </w:rPr>
      </w:pPr>
      <w:r>
        <w:rPr>
          <w:rFonts w:ascii="Times New Roman;Times;serif" w:hAnsi="Times New Roman;Times;serif"/>
          <w:color w:val="000000"/>
          <w:sz w:val="20"/>
        </w:rPr>
        <w:t>After reasonable inquiry and to the best of my knowledge and belief, I certify that the information set forth in this statement is true, complete and accurate.</w:t>
      </w:r>
    </w:p>
    <w:p>
      <w:pPr>
        <w:pStyle w:val="TextBody"/>
        <w:bidi w:val="0"/>
        <w:spacing w:before="0" w:after="200"/>
        <w:jc w:val="left"/>
        <w:rPr/>
      </w:pPr>
      <w:r>
        <w:rPr/>
      </w:r>
    </w:p>
    <w:p>
      <w:pPr>
        <w:pStyle w:val="Normal"/>
        <w:bidi w:val="0"/>
        <w:spacing w:before="0" w:after="0"/>
        <w:jc w:val="left"/>
        <w:rPr>
          <w:sz w:val="4"/>
          <w:szCs w:val="4"/>
        </w:rPr>
      </w:pPr>
      <w:r>
        <w:rPr>
          <w:sz w:val="4"/>
          <w:szCs w:val="4"/>
        </w:rPr>
      </w:r>
      <w:bookmarkStart w:id="12" w:name="z47e1940458f84abcbc530550533e5056"/>
      <w:bookmarkStart w:id="13" w:name="z47e1940458f84abcbc530550533e5056"/>
      <w:bookmarkEnd w:id="13"/>
    </w:p>
    <w:tbl>
      <w:tblPr>
        <w:tblW w:w="3335" w:type="dxa"/>
        <w:jc w:val="left"/>
        <w:tblInd w:w="0" w:type="dxa"/>
        <w:tblLayout w:type="fixed"/>
        <w:tblCellMar>
          <w:top w:w="0" w:type="dxa"/>
          <w:left w:w="0" w:type="dxa"/>
          <w:bottom w:w="0" w:type="dxa"/>
          <w:right w:w="0" w:type="dxa"/>
        </w:tblCellMar>
      </w:tblPr>
      <w:tblGrid>
        <w:gridCol w:w="60"/>
        <w:gridCol w:w="3215"/>
        <w:gridCol w:w="60"/>
      </w:tblGrid>
      <w:tr>
        <w:trPr/>
        <w:tc>
          <w:tcPr>
            <w:tcW w:w="6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r>
              <w:rPr/>
              <w:t>Date: October 15, 2024</w:t>
            </w:r>
          </w:p>
          <w:p>
            <w:pPr>
              <w:pStyle w:val="TableContents"/>
              <w:bidi w:val="0"/>
              <w:spacing w:before="0" w:after="0"/>
              <w:jc w:val="left"/>
              <w:rPr/>
            </w:pPr>
            <w:r>
              <w:rPr/>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pPr>
            <w:r>
              <w:rPr/>
              <w:t> </w:t>
            </w:r>
            <w:r>
              <w:rPr/>
              <w:t>Liquidmetal Technology Limited</w:t>
            </w:r>
          </w:p>
          <w:p>
            <w:pPr>
              <w:pStyle w:val="TableContents"/>
              <w:bidi w:val="0"/>
              <w:spacing w:before="0" w:after="0"/>
              <w:jc w:val="left"/>
              <w:rPr/>
            </w:pPr>
            <w:r>
              <w:rPr/>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215" w:type="dxa"/>
            <w:tcBorders>
              <w:bottom w:val="single" w:sz="2" w:space="0" w:color="000000"/>
            </w:tcBorders>
            <w:tcMar>
              <w:bottom w:w="28" w:type="dxa"/>
            </w:tcMar>
            <w:vAlign w:val="center"/>
          </w:tcPr>
          <w:p>
            <w:pPr>
              <w:pStyle w:val="TableContents"/>
              <w:bidi w:val="0"/>
              <w:spacing w:before="0" w:after="0"/>
              <w:jc w:val="left"/>
              <w:rPr/>
            </w:pPr>
            <w:r>
              <w:rPr/>
              <w:t> </w:t>
            </w:r>
            <w:r>
              <w:rPr/>
              <w:t>/s/ Tony Chung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r>
              <w:rPr/>
              <w:t>Tony Chung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r>
              <w:rPr/>
              <w:t>Attorney in Fact</w:t>
            </w:r>
          </w:p>
        </w:tc>
        <w:tc>
          <w:tcPr>
            <w:tcW w:w="60" w:type="dxa"/>
            <w:tcBorders/>
            <w:vAlign w:val="center"/>
          </w:tcPr>
          <w:p>
            <w:pPr>
              <w:pStyle w:val="TableContents"/>
              <w:bidi w:val="0"/>
              <w:spacing w:before="0" w:after="283"/>
              <w:jc w:val="left"/>
              <w:rPr/>
            </w:pPr>
            <w:r>
              <w:rPr/>
              <w:t> </w:t>
            </w:r>
          </w:p>
        </w:tc>
      </w:tr>
    </w:tbl>
    <w:p>
      <w:pPr>
        <w:pStyle w:val="TextBody"/>
        <w:bidi w:val="0"/>
        <w:jc w:val="left"/>
        <w:rPr/>
      </w:pPr>
      <w:r>
        <w:rPr/>
      </w:r>
    </w:p>
    <w:p>
      <w:pPr>
        <w:pStyle w:val="TextBody"/>
        <w:bidi w:val="0"/>
        <w:spacing w:before="0" w:after="0"/>
        <w:jc w:val="left"/>
        <w:rPr/>
      </w:pPr>
      <w:r>
        <w:rPr/>
      </w:r>
    </w:p>
    <w:p>
      <w:pPr>
        <w:pStyle w:val="TextBody"/>
        <w:bidi w:val="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5 of 5</w:t>
      </w:r>
    </w:p>
    <w:p>
      <w:pPr>
        <w:pStyle w:val="TextBody"/>
        <w:bidi w:val="0"/>
        <w:spacing w:before="240" w:after="283"/>
        <w:ind w:left="0" w:right="0" w:firstLine="720"/>
        <w:jc w:val="right"/>
        <w:rPr>
          <w:rFonts w:ascii="Times New Roman;Times;serif" w:hAnsi="Times New Roman;Times;serif"/>
          <w:b/>
          <w:i/>
          <w:color w:val="000000"/>
          <w:sz w:val="20"/>
        </w:rPr>
      </w:pPr>
      <w:bookmarkStart w:id="14" w:name="exhibit4-1.htm"/>
      <w:bookmarkStart w:id="15" w:name="ksexhibit41"/>
      <w:bookmarkEnd w:id="14"/>
      <w:bookmarkEnd w:id="15"/>
      <w:r>
        <w:rPr>
          <w:rFonts w:ascii="Times New Roman;Times;serif" w:hAnsi="Times New Roman;Times;serif"/>
          <w:b/>
          <w:i/>
          <w:color w:val="000000"/>
          <w:sz w:val="20"/>
        </w:rPr>
        <w:t>Exhibit 4.1</w:t>
      </w:r>
      <w:r>
        <w:br w:type="page"/>
      </w:r>
    </w:p>
    <w:p>
      <w:pPr>
        <w:pStyle w:val="TextBody"/>
        <w:bidi w:val="0"/>
        <w:spacing w:before="240" w:after="0"/>
        <w:ind w:left="0" w:right="0" w:hanging="0"/>
        <w:jc w:val="left"/>
        <w:rPr/>
      </w:pPr>
      <w:r>
        <w:rPr/>
      </w:r>
    </w:p>
    <w:p>
      <w:pPr>
        <w:pStyle w:val="TextBody"/>
        <w:bidi w:val="0"/>
        <w:spacing w:before="120" w:after="283"/>
        <w:ind w:left="0" w:right="0" w:firstLine="720"/>
        <w:jc w:val="center"/>
        <w:rPr>
          <w:rFonts w:ascii="Times New Roman;Times;serif" w:hAnsi="Times New Roman;Times;serif"/>
          <w:b/>
          <w:i/>
          <w:color w:val="000000"/>
          <w:sz w:val="24"/>
        </w:rPr>
      </w:pPr>
      <w:r>
        <w:rPr>
          <w:rFonts w:ascii="Times New Roman;Times;serif" w:hAnsi="Times New Roman;Times;serif"/>
          <w:b/>
          <w:i/>
          <w:color w:val="000000"/>
          <w:sz w:val="24"/>
        </w:rPr>
        <w:t>STOCK PURCHASE AGREEMENT</w:t>
      </w:r>
    </w:p>
    <w:p>
      <w:pPr>
        <w:pStyle w:val="TextBody"/>
        <w:bidi w:val="0"/>
        <w:spacing w:before="240" w:after="283"/>
        <w:ind w:left="0" w:right="0" w:firstLine="720"/>
        <w:jc w:val="both"/>
        <w:rPr>
          <w:rFonts w:ascii="Times New Roman;Times;serif" w:hAnsi="Times New Roman;Times;serif"/>
          <w:b w:val="false"/>
          <w:i/>
          <w:color w:val="000000"/>
          <w:sz w:val="24"/>
        </w:rPr>
      </w:pPr>
      <w:r>
        <w:rPr>
          <w:rFonts w:ascii="Times New Roman;Times;serif" w:hAnsi="Times New Roman;Times;serif"/>
          <w:b w:val="false"/>
          <w:i/>
          <w:color w:val="000000"/>
          <w:sz w:val="24"/>
        </w:rPr>
        <w:t>THIS STOCK PURCHASE AGREEMENT (this “</w:t>
      </w:r>
      <w:r>
        <w:rPr>
          <w:rFonts w:ascii="Times New Roman;Times;serif" w:hAnsi="Times New Roman;Times;serif"/>
          <w:b w:val="false"/>
          <w:i/>
          <w:color w:val="000000"/>
          <w:sz w:val="24"/>
          <w:u w:val="single"/>
        </w:rPr>
        <w:t>Agreement</w:t>
      </w:r>
      <w:r>
        <w:rPr>
          <w:rFonts w:ascii="Times New Roman;Times;serif" w:hAnsi="Times New Roman;Times;serif"/>
          <w:b w:val="false"/>
          <w:i/>
          <w:color w:val="000000"/>
          <w:sz w:val="24"/>
        </w:rPr>
        <w:t xml:space="preserve">”) is made and entered into as of </w:t>
      </w:r>
      <w:r>
        <w:rPr>
          <w:rFonts w:ascii="Times New Roman;Times;serif" w:hAnsi="Times New Roman;Times;serif"/>
          <w:b/>
          <w:i/>
          <w:color w:val="000000"/>
          <w:sz w:val="24"/>
        </w:rPr>
        <w:t>October 10, 2024</w:t>
      </w:r>
      <w:r>
        <w:rPr>
          <w:rFonts w:ascii="Times New Roman;Times;serif" w:hAnsi="Times New Roman;Times;serif"/>
          <w:b w:val="false"/>
          <w:i/>
          <w:color w:val="000000"/>
          <w:sz w:val="24"/>
        </w:rPr>
        <w:t xml:space="preserve">, by and between </w:t>
      </w:r>
      <w:r>
        <w:rPr>
          <w:rFonts w:ascii="Times New Roman;Times;serif" w:hAnsi="Times New Roman;Times;serif"/>
          <w:b/>
          <w:i/>
          <w:color w:val="000000"/>
          <w:sz w:val="24"/>
        </w:rPr>
        <w:t>LUTOS CAPITAL, LLC</w:t>
      </w:r>
      <w:r>
        <w:rPr>
          <w:rFonts w:ascii="Times New Roman;Times;serif" w:hAnsi="Times New Roman;Times;serif"/>
          <w:b w:val="false"/>
          <w:i/>
          <w:color w:val="000000"/>
          <w:sz w:val="24"/>
        </w:rPr>
        <w:t>.</w:t>
      </w:r>
      <w:r>
        <w:rPr>
          <w:rFonts w:ascii="Times New Roman;Times;serif" w:hAnsi="Times New Roman;Times;serif"/>
          <w:b w:val="false"/>
          <w:i/>
          <w:color w:val="000000"/>
          <w:sz w:val="24"/>
          <w:u w:val="single"/>
        </w:rPr>
        <w:t>,</w:t>
      </w:r>
      <w:r>
        <w:rPr>
          <w:rFonts w:ascii="Times New Roman;Times;serif" w:hAnsi="Times New Roman;Times;serif"/>
          <w:b w:val="false"/>
          <w:i/>
          <w:color w:val="000000"/>
          <w:sz w:val="24"/>
        </w:rPr>
        <w:t xml:space="preserve"> a Florida limited liability company (the "</w:t>
      </w:r>
      <w:r>
        <w:rPr>
          <w:rFonts w:ascii="Times New Roman;Times;serif" w:hAnsi="Times New Roman;Times;serif"/>
          <w:b w:val="false"/>
          <w:i/>
          <w:color w:val="000000"/>
          <w:sz w:val="24"/>
          <w:u w:val="single"/>
        </w:rPr>
        <w:t>Buyer</w:t>
      </w:r>
      <w:r>
        <w:rPr>
          <w:rFonts w:ascii="Times New Roman;Times;serif" w:hAnsi="Times New Roman;Times;serif"/>
          <w:b w:val="false"/>
          <w:i/>
          <w:color w:val="000000"/>
          <w:sz w:val="24"/>
        </w:rPr>
        <w:t>"), and LIQUIDMETAL TECHNOLOGY LIMITED, a Hong Kong company (the “</w:t>
      </w:r>
      <w:r>
        <w:rPr>
          <w:rFonts w:ascii="Times New Roman;Times;serif" w:hAnsi="Times New Roman;Times;serif"/>
          <w:b w:val="false"/>
          <w:i/>
          <w:color w:val="000000"/>
          <w:sz w:val="24"/>
          <w:u w:val="single"/>
        </w:rPr>
        <w:t>Seller</w:t>
      </w:r>
      <w:r>
        <w:rPr>
          <w:rFonts w:ascii="Times New Roman;Times;serif" w:hAnsi="Times New Roman;Times;serif"/>
          <w:b w:val="false"/>
          <w:i/>
          <w:color w:val="000000"/>
          <w:sz w:val="24"/>
        </w:rPr>
        <w:t>”).</w:t>
      </w:r>
    </w:p>
    <w:p>
      <w:pPr>
        <w:pStyle w:val="TextBody"/>
        <w:bidi w:val="0"/>
        <w:spacing w:before="240" w:after="0"/>
        <w:jc w:val="left"/>
        <w:rPr/>
      </w:pPr>
      <w:r>
        <w:rPr/>
      </w:r>
    </w:p>
    <w:p>
      <w:pPr>
        <w:pStyle w:val="TextBody"/>
        <w:bidi w:val="0"/>
        <w:spacing w:before="240" w:after="0"/>
        <w:ind w:left="0" w:right="0" w:firstLine="720"/>
        <w:jc w:val="center"/>
        <w:rPr>
          <w:rFonts w:ascii="Times New Roman;Times;serif" w:hAnsi="Times New Roman;Times;serif"/>
          <w:b w:val="false"/>
          <w:i/>
          <w:color w:val="000000"/>
          <w:sz w:val="24"/>
          <w:u w:val="single"/>
        </w:rPr>
      </w:pPr>
      <w:r>
        <w:rPr>
          <w:rFonts w:ascii="Times New Roman;Times;serif" w:hAnsi="Times New Roman;Times;serif"/>
          <w:b w:val="false"/>
          <w:i/>
          <w:color w:val="000000"/>
          <w:sz w:val="24"/>
          <w:u w:val="single"/>
        </w:rPr>
        <w:t>RECITALS:</w:t>
      </w:r>
    </w:p>
    <w:p>
      <w:pPr>
        <w:pStyle w:val="TextBody"/>
        <w:bidi w:val="0"/>
        <w:spacing w:before="240" w:after="283"/>
        <w:ind w:left="0" w:right="0" w:hanging="0"/>
        <w:jc w:val="both"/>
        <w:rPr>
          <w:rFonts w:ascii="Times New Roman;Times;serif" w:hAnsi="Times New Roman;Times;serif"/>
          <w:b w:val="false"/>
          <w:i/>
          <w:color w:val="000000"/>
          <w:sz w:val="20"/>
        </w:rPr>
      </w:pPr>
      <w:r>
        <w:rPr>
          <w:rFonts w:ascii="Times New Roman;Times;serif" w:hAnsi="Times New Roman;Times;serif"/>
          <w:b w:val="false"/>
          <w:i/>
          <w:color w:val="000000"/>
          <w:sz w:val="24"/>
        </w:rPr>
        <w:t>A.</w:t>
      </w:r>
      <w:r>
        <w:rPr>
          <w:rFonts w:ascii="Times New Roman;Times;serif" w:hAnsi="Times New Roman;Times;serif"/>
          <w:b w:val="false"/>
          <w:i/>
          <w:color w:val="000000"/>
          <w:sz w:val="20"/>
        </w:rPr>
        <w:t> </w:t>
      </w:r>
      <w:r>
        <w:rPr>
          <w:rFonts w:ascii="Times New Roman;Times;serif" w:hAnsi="Times New Roman;Times;serif"/>
          <w:b w:val="false"/>
          <w:i/>
          <w:color w:val="000000"/>
          <w:sz w:val="24"/>
        </w:rPr>
        <w:t xml:space="preserve">The Seller desires to sell to the Buyer, and the Buyer desires to purchase from the Seller, </w:t>
      </w:r>
      <w:r>
        <w:rPr>
          <w:rFonts w:ascii="Times New Roman;Times;serif" w:hAnsi="Times New Roman;Times;serif"/>
          <w:b/>
          <w:i/>
          <w:color w:val="000000"/>
          <w:sz w:val="24"/>
        </w:rPr>
        <w:t>Forty-Four Million Nine Hundred Forty-Six Thousand Nine Hundred and Seventy-Two (44,946,972) shares</w:t>
      </w:r>
      <w:r>
        <w:rPr>
          <w:rFonts w:ascii="Times New Roman;Times;serif" w:hAnsi="Times New Roman;Times;serif"/>
          <w:b w:val="false"/>
          <w:i/>
          <w:color w:val="000000"/>
          <w:sz w:val="24"/>
        </w:rPr>
        <w:t xml:space="preserve"> (collectively, the “</w:t>
      </w:r>
      <w:r>
        <w:rPr>
          <w:rFonts w:ascii="Times New Roman;Times;serif" w:hAnsi="Times New Roman;Times;serif"/>
          <w:b w:val="false"/>
          <w:i/>
          <w:color w:val="000000"/>
          <w:sz w:val="24"/>
          <w:u w:val="single"/>
        </w:rPr>
        <w:t>Shares</w:t>
      </w:r>
      <w:r>
        <w:rPr>
          <w:rFonts w:ascii="Times New Roman;Times;serif" w:hAnsi="Times New Roman;Times;serif"/>
          <w:b w:val="false"/>
          <w:i/>
          <w:color w:val="000000"/>
          <w:sz w:val="24"/>
        </w:rPr>
        <w:t>”) of the common stock, par value $0.001 per share, of Liquidmetal Technologies, Inc., a Delaware corporation (the “</w:t>
      </w:r>
      <w:r>
        <w:rPr>
          <w:rFonts w:ascii="Times New Roman;Times;serif" w:hAnsi="Times New Roman;Times;serif"/>
          <w:b w:val="false"/>
          <w:i/>
          <w:color w:val="000000"/>
          <w:sz w:val="24"/>
          <w:u w:val="single"/>
        </w:rPr>
        <w:t>Company</w:t>
      </w:r>
      <w:r>
        <w:rPr>
          <w:rFonts w:ascii="Times New Roman;Times;serif" w:hAnsi="Times New Roman;Times;serif"/>
          <w:b w:val="false"/>
          <w:i/>
          <w:color w:val="000000"/>
          <w:sz w:val="24"/>
        </w:rPr>
        <w:t>”), held by the Seller.</w:t>
      </w:r>
    </w:p>
    <w:p>
      <w:pPr>
        <w:pStyle w:val="TextBody"/>
        <w:bidi w:val="0"/>
        <w:spacing w:before="240" w:after="283"/>
        <w:ind w:left="0" w:right="0" w:hanging="0"/>
        <w:jc w:val="both"/>
        <w:rPr>
          <w:rFonts w:ascii="Times New Roman;Times;serif" w:hAnsi="Times New Roman;Times;serif"/>
          <w:b w:val="false"/>
          <w:i/>
          <w:color w:val="000000"/>
          <w:sz w:val="20"/>
        </w:rPr>
      </w:pPr>
      <w:r>
        <w:rPr>
          <w:rFonts w:ascii="Times New Roman;Times;serif" w:hAnsi="Times New Roman;Times;serif"/>
          <w:b w:val="false"/>
          <w:i/>
          <w:color w:val="000000"/>
          <w:sz w:val="24"/>
        </w:rPr>
        <w:t>B.</w:t>
      </w:r>
      <w:r>
        <w:rPr>
          <w:rFonts w:ascii="Times New Roman;Times;serif" w:hAnsi="Times New Roman;Times;serif"/>
          <w:b w:val="false"/>
          <w:i/>
          <w:color w:val="000000"/>
          <w:sz w:val="20"/>
        </w:rPr>
        <w:t> </w:t>
      </w:r>
      <w:r>
        <w:rPr>
          <w:rFonts w:ascii="Times New Roman;Times;serif" w:hAnsi="Times New Roman;Times;serif"/>
          <w:b w:val="false"/>
          <w:i/>
          <w:color w:val="000000"/>
          <w:sz w:val="24"/>
        </w:rPr>
        <w:t>The Seller and Buyer desire to consummate the purchase and sale of the Shares upon the terms and conditions set forth in this Agreement.</w:t>
      </w:r>
    </w:p>
    <w:p>
      <w:pPr>
        <w:pStyle w:val="TextBody"/>
        <w:bidi w:val="0"/>
        <w:spacing w:before="240" w:after="283"/>
        <w:ind w:left="0" w:right="0" w:firstLine="1440"/>
        <w:jc w:val="both"/>
        <w:rPr>
          <w:rFonts w:ascii="Times New Roman;Times;serif" w:hAnsi="Times New Roman;Times;serif"/>
          <w:b w:val="false"/>
          <w:i/>
          <w:color w:val="000000"/>
          <w:sz w:val="24"/>
        </w:rPr>
      </w:pPr>
      <w:r>
        <w:rPr>
          <w:rFonts w:ascii="Times New Roman;Times;serif" w:hAnsi="Times New Roman;Times;serif"/>
          <w:b w:val="false"/>
          <w:i/>
          <w:color w:val="000000"/>
          <w:sz w:val="24"/>
        </w:rPr>
        <w:t>Now, therefore, in consideration of the foregoing recitals and the terms, covenants, and agreements set forth herein, the parties hereto agree as follows:</w:t>
      </w:r>
    </w:p>
    <w:p>
      <w:pPr>
        <w:pStyle w:val="TextBody"/>
        <w:bidi w:val="0"/>
        <w:spacing w:before="240" w:after="283"/>
        <w:jc w:val="center"/>
        <w:rPr>
          <w:rFonts w:ascii="Times New Roman;Times;serif" w:hAnsi="Times New Roman;Times;serif"/>
          <w:b w:val="false"/>
          <w:i/>
          <w:color w:val="000000"/>
          <w:sz w:val="24"/>
        </w:rPr>
      </w:pPr>
      <w:r>
        <w:rPr>
          <w:rFonts w:ascii="Times New Roman;Times;serif" w:hAnsi="Times New Roman;Times;serif"/>
          <w:b w:val="false"/>
          <w:i/>
          <w:color w:val="000000"/>
          <w:sz w:val="24"/>
        </w:rPr>
        <w:t>SECTION 1.</w:t>
        <w:br/>
      </w:r>
      <w:r>
        <w:rPr>
          <w:rFonts w:ascii="Times New Roman;Times;serif" w:hAnsi="Times New Roman;Times;serif"/>
          <w:b w:val="false"/>
          <w:i/>
          <w:color w:val="000000"/>
          <w:sz w:val="24"/>
          <w:u w:val="single"/>
        </w:rPr>
        <w:t>Purchase and Sale of Shares</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1.1</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Sale of Shares</w:t>
      </w:r>
      <w:r>
        <w:rPr>
          <w:rFonts w:ascii="Times New Roman;Times;serif" w:hAnsi="Times New Roman;Times;serif"/>
          <w:b w:val="false"/>
          <w:i/>
          <w:color w:val="000000"/>
          <w:sz w:val="24"/>
        </w:rPr>
        <w:t>.  At the Closing (as defined below), the Seller shall sell to the Buyer, and the Buyer shall purchase from the Seller, the Shares, free and clear of all liens, claims, and encumbrances.  The purchase price for the Shares (the “</w:t>
      </w:r>
      <w:r>
        <w:rPr>
          <w:rFonts w:ascii="Times New Roman;Times;serif" w:hAnsi="Times New Roman;Times;serif"/>
          <w:b w:val="false"/>
          <w:i/>
          <w:color w:val="000000"/>
          <w:sz w:val="24"/>
          <w:u w:val="single"/>
        </w:rPr>
        <w:t>Purchase Price</w:t>
      </w:r>
      <w:r>
        <w:rPr>
          <w:rFonts w:ascii="Times New Roman;Times;serif" w:hAnsi="Times New Roman;Times;serif"/>
          <w:b w:val="false"/>
          <w:i/>
          <w:color w:val="000000"/>
          <w:sz w:val="24"/>
        </w:rPr>
        <w:t xml:space="preserve">”) will be an amount equal to </w:t>
      </w:r>
      <w:r>
        <w:rPr>
          <w:rFonts w:ascii="Times New Roman;Times;serif" w:hAnsi="Times New Roman;Times;serif"/>
          <w:b/>
          <w:i/>
          <w:color w:val="000000"/>
          <w:sz w:val="24"/>
        </w:rPr>
        <w:t>U.S. Dollars 0.16 (USD).</w:t>
      </w:r>
      <w:r>
        <w:rPr>
          <w:rFonts w:ascii="Times New Roman;Times;serif" w:hAnsi="Times New Roman;Times;serif"/>
          <w:b w:val="false"/>
          <w:i/>
          <w:color w:val="000000"/>
          <w:sz w:val="24"/>
        </w:rPr>
        <w:t xml:space="preserve">  The aggregate Purchase Price for the Shares will be paid by the execution and delivery of a promissory note in substantially the form set forth as </w:t>
      </w:r>
      <w:r>
        <w:rPr>
          <w:rFonts w:ascii="Times New Roman;Times;serif" w:hAnsi="Times New Roman;Times;serif"/>
          <w:b w:val="false"/>
          <w:i/>
          <w:color w:val="000000"/>
          <w:sz w:val="24"/>
          <w:u w:val="single"/>
        </w:rPr>
        <w:t>Exhibit A</w:t>
      </w:r>
      <w:r>
        <w:rPr>
          <w:rFonts w:ascii="Times New Roman;Times;serif" w:hAnsi="Times New Roman;Times;serif"/>
          <w:b w:val="false"/>
          <w:i/>
          <w:color w:val="000000"/>
          <w:sz w:val="24"/>
        </w:rPr>
        <w:t xml:space="preserve"> hereto (the “</w:t>
      </w:r>
      <w:r>
        <w:rPr>
          <w:rFonts w:ascii="Times New Roman;Times;serif" w:hAnsi="Times New Roman;Times;serif"/>
          <w:b w:val="false"/>
          <w:i/>
          <w:color w:val="000000"/>
          <w:sz w:val="24"/>
          <w:u w:val="single"/>
        </w:rPr>
        <w:t>Purchase Note</w:t>
      </w:r>
      <w:r>
        <w:rPr>
          <w:rFonts w:ascii="Times New Roman;Times;serif" w:hAnsi="Times New Roman;Times;serif"/>
          <w:b w:val="false"/>
          <w:i/>
          <w:color w:val="000000"/>
          <w:sz w:val="24"/>
        </w:rPr>
        <w: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1.2</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Closing</w:t>
      </w:r>
      <w:r>
        <w:rPr>
          <w:rFonts w:ascii="Times New Roman;Times;serif" w:hAnsi="Times New Roman;Times;serif"/>
          <w:b w:val="false"/>
          <w:i/>
          <w:color w:val="000000"/>
          <w:sz w:val="24"/>
        </w:rPr>
        <w:t>.  The purchase and sale of the Shares by the Buyer (the “</w:t>
      </w:r>
      <w:r>
        <w:rPr>
          <w:rFonts w:ascii="Times New Roman;Times;serif" w:hAnsi="Times New Roman;Times;serif"/>
          <w:b w:val="false"/>
          <w:i/>
          <w:color w:val="000000"/>
          <w:sz w:val="24"/>
          <w:u w:val="single"/>
        </w:rPr>
        <w:t>Closing</w:t>
      </w:r>
      <w:r>
        <w:rPr>
          <w:rFonts w:ascii="Times New Roman;Times;serif" w:hAnsi="Times New Roman;Times;serif"/>
          <w:b w:val="false"/>
          <w:i/>
          <w:color w:val="000000"/>
          <w:sz w:val="24"/>
        </w:rPr>
        <w:t>”) shall take place remotely via the exchange of documents and signatures on the date of this Agreement or on such other date as is mutually agreed upon by the Company and the Purchasers.  At the Closing, the Seller shall deliver or cause to be delivered to the Buyer certificates (or evidence of book entry) representing the Shares, duly endorsed for transfer to the Buyer or accompanied by duly executed stock powers, and the Buyer shall execute and deliver the Purchase Note to Buyer.</w:t>
      </w:r>
    </w:p>
    <w:p>
      <w:pPr>
        <w:pStyle w:val="HorizontalLine"/>
        <w:pBdr>
          <w:bottom w:val="single" w:sz="12" w:space="0" w:color="808080"/>
        </w:pBdr>
        <w:bidi w:val="0"/>
        <w:spacing w:before="200" w:after="200"/>
        <w:jc w:val="left"/>
        <w:rPr/>
      </w:pPr>
      <w:r>
        <w:rPr/>
      </w:r>
    </w:p>
    <w:p>
      <w:pPr>
        <w:pStyle w:val="TextBody"/>
        <w:bidi w:val="0"/>
        <w:spacing w:before="240" w:after="283"/>
        <w:jc w:val="center"/>
        <w:rPr>
          <w:rFonts w:ascii="Times New Roman;Times;serif" w:hAnsi="Times New Roman;Times;serif"/>
          <w:b w:val="false"/>
          <w:i/>
          <w:color w:val="000000"/>
          <w:sz w:val="24"/>
        </w:rPr>
      </w:pPr>
      <w:r>
        <w:rPr>
          <w:rFonts w:ascii="Times New Roman;Times;serif" w:hAnsi="Times New Roman;Times;serif"/>
          <w:b w:val="false"/>
          <w:i/>
          <w:color w:val="000000"/>
          <w:sz w:val="24"/>
        </w:rPr>
        <w:t>SECTION 2.</w:t>
        <w:br/>
      </w:r>
      <w:r>
        <w:rPr>
          <w:rFonts w:ascii="Times New Roman;Times;serif" w:hAnsi="Times New Roman;Times;serif"/>
          <w:b w:val="false"/>
          <w:i/>
          <w:color w:val="000000"/>
          <w:sz w:val="24"/>
          <w:u w:val="single"/>
        </w:rPr>
        <w:t>Representations and Warranties of the Seller</w:t>
      </w:r>
    </w:p>
    <w:p>
      <w:pPr>
        <w:pStyle w:val="TextBody"/>
        <w:bidi w:val="0"/>
        <w:spacing w:before="240" w:after="283"/>
        <w:ind w:left="0" w:right="0" w:firstLine="1440"/>
        <w:jc w:val="both"/>
        <w:rPr>
          <w:rFonts w:ascii="Times New Roman;Times;serif" w:hAnsi="Times New Roman;Times;serif"/>
          <w:b w:val="false"/>
          <w:i/>
          <w:color w:val="000000"/>
          <w:sz w:val="24"/>
        </w:rPr>
      </w:pPr>
      <w:r>
        <w:rPr>
          <w:rFonts w:ascii="Times New Roman;Times;serif" w:hAnsi="Times New Roman;Times;serif"/>
          <w:b w:val="false"/>
          <w:i/>
          <w:color w:val="000000"/>
          <w:sz w:val="24"/>
        </w:rPr>
        <w:t>The Seller hereby makes the following representations and warranties to the Buyer, all of which shall survive the Closing:</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2.1</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Ownership of Stock</w:t>
      </w:r>
      <w:r>
        <w:rPr>
          <w:rFonts w:ascii="Times New Roman;Times;serif" w:hAnsi="Times New Roman;Times;serif"/>
          <w:b w:val="false"/>
          <w:i/>
          <w:color w:val="000000"/>
          <w:sz w:val="24"/>
        </w:rPr>
        <w: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(a)</w:t>
      </w:r>
      <w:r>
        <w:rPr>
          <w:rFonts w:ascii="Times New Roman;Times;serif" w:hAnsi="Times New Roman;Times;serif"/>
          <w:b w:val="false"/>
          <w:i/>
          <w:color w:val="000000"/>
          <w:sz w:val="20"/>
        </w:rPr>
        <w:t> </w:t>
      </w:r>
      <w:r>
        <w:rPr>
          <w:rFonts w:ascii="Times New Roman;Times;serif" w:hAnsi="Times New Roman;Times;serif"/>
          <w:b w:val="false"/>
          <w:i/>
          <w:color w:val="000000"/>
          <w:sz w:val="24"/>
        </w:rPr>
        <w:t>The Shares are owned by the Seller free and clear of all liens, encumbrances, charges, and assessments of every nature and subject to no restrictions with respect to transferability.  The Seller has full power and authority to assign and transfer the Shares to the Buyer in accordance with the terms hereof.</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(b)</w:t>
      </w:r>
      <w:r>
        <w:rPr>
          <w:rFonts w:ascii="Times New Roman;Times;serif" w:hAnsi="Times New Roman;Times;serif"/>
          <w:b w:val="false"/>
          <w:i/>
          <w:color w:val="000000"/>
          <w:sz w:val="20"/>
        </w:rPr>
        <w:t> </w:t>
      </w:r>
      <w:r>
        <w:rPr>
          <w:rFonts w:ascii="Times New Roman;Times;serif" w:hAnsi="Times New Roman;Times;serif"/>
          <w:b w:val="false"/>
          <w:i/>
          <w:color w:val="000000"/>
          <w:sz w:val="24"/>
        </w:rPr>
        <w:t>Except for this Agreement, there are no outstanding options, contracts, calls, commitments, agreements, rights to purchase, rights of first refusal, proxies, powers of attorney, demands, or rights of any character relating to the Shares.</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2.2</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Authority</w:t>
      </w:r>
      <w:r>
        <w:rPr>
          <w:rFonts w:ascii="Times New Roman;Times;serif" w:hAnsi="Times New Roman;Times;serif"/>
          <w:b w:val="false"/>
          <w:i/>
          <w:color w:val="000000"/>
          <w:sz w:val="24"/>
        </w:rPr>
        <w:t>.  No act, consent, or proceeding on the part of any person or entity is necessary to authorize this Agreement and the transfer and sale of the Shares pursuant hereto.  This Agreement constitutes the valid and binding agreement of the Seller, enforceable in accordance with its terms, except as such may be limited by bankruptcy, insolvency, reorganization, or other laws affecting creditors’ rights generally, and by general equitable principles.</w:t>
      </w:r>
    </w:p>
    <w:p>
      <w:pPr>
        <w:pStyle w:val="TextBody"/>
        <w:bidi w:val="0"/>
        <w:spacing w:before="240" w:after="283"/>
        <w:jc w:val="center"/>
        <w:rPr>
          <w:rFonts w:ascii="Times New Roman;Times;serif" w:hAnsi="Times New Roman;Times;serif"/>
          <w:b w:val="false"/>
          <w:i/>
          <w:color w:val="000000"/>
          <w:sz w:val="24"/>
        </w:rPr>
      </w:pPr>
      <w:r>
        <w:rPr>
          <w:rFonts w:ascii="Times New Roman;Times;serif" w:hAnsi="Times New Roman;Times;serif"/>
          <w:b w:val="false"/>
          <w:i/>
          <w:color w:val="000000"/>
          <w:sz w:val="24"/>
        </w:rPr>
        <w:t>SECTION 3.</w:t>
      </w:r>
    </w:p>
    <w:p>
      <w:pPr>
        <w:pStyle w:val="TextBody"/>
        <w:bidi w:val="0"/>
        <w:spacing w:before="240" w:after="0"/>
        <w:jc w:val="center"/>
        <w:rPr>
          <w:rFonts w:ascii="Times New Roman;Times;serif" w:hAnsi="Times New Roman;Times;serif"/>
          <w:b w:val="false"/>
          <w:i/>
          <w:color w:val="000000"/>
          <w:sz w:val="24"/>
          <w:u w:val="single"/>
        </w:rPr>
      </w:pPr>
      <w:r>
        <w:rPr>
          <w:rFonts w:ascii="Times New Roman;Times;serif" w:hAnsi="Times New Roman;Times;serif"/>
          <w:b w:val="false"/>
          <w:i/>
          <w:color w:val="000000"/>
          <w:sz w:val="24"/>
          <w:u w:val="single"/>
        </w:rPr>
        <w:t>Representations and Warranties of the Buyer</w:t>
      </w:r>
    </w:p>
    <w:p>
      <w:pPr>
        <w:pStyle w:val="TextBody"/>
        <w:bidi w:val="0"/>
        <w:spacing w:before="240" w:after="283"/>
        <w:ind w:left="0" w:right="0" w:firstLine="1440"/>
        <w:jc w:val="both"/>
        <w:rPr>
          <w:rFonts w:ascii="Times New Roman;Times;serif" w:hAnsi="Times New Roman;Times;serif"/>
          <w:b w:val="false"/>
          <w:i/>
          <w:color w:val="000000"/>
          <w:sz w:val="24"/>
        </w:rPr>
      </w:pPr>
      <w:r>
        <w:rPr>
          <w:rFonts w:ascii="Times New Roman;Times;serif" w:hAnsi="Times New Roman;Times;serif"/>
          <w:b w:val="false"/>
          <w:i/>
          <w:color w:val="000000"/>
          <w:sz w:val="24"/>
        </w:rPr>
        <w:t>The Buyer hereby makes the following representations and warranties to the Seller, all of which shall survive the Closing:</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3.1</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Investment Experience</w:t>
      </w:r>
      <w:r>
        <w:rPr>
          <w:rFonts w:ascii="Times New Roman;Times;serif" w:hAnsi="Times New Roman;Times;serif"/>
          <w:b w:val="false"/>
          <w:i/>
          <w:color w:val="000000"/>
          <w:sz w:val="24"/>
        </w:rPr>
        <w:t>.  The Buyer has substantial experience in evaluating and investing in securities in companies similar to the Company such that the Buyer is capable of evaluating the merits and risks of the Buyer’s investment in the Company and has the capacity to protect its own interests.  The Buyer is an “Accredited Investor” as defined in Rule 501 of Regulation D promulgated under the Securities Act of 1933, as amended (the “</w:t>
      </w:r>
      <w:r>
        <w:rPr>
          <w:rFonts w:ascii="Times New Roman;Times;serif" w:hAnsi="Times New Roman;Times;serif"/>
          <w:b w:val="false"/>
          <w:i/>
          <w:color w:val="000000"/>
          <w:sz w:val="24"/>
          <w:u w:val="single"/>
        </w:rPr>
        <w:t>Securities Act</w:t>
      </w:r>
      <w:r>
        <w:rPr>
          <w:rFonts w:ascii="Times New Roman;Times;serif" w:hAnsi="Times New Roman;Times;serif"/>
          <w:b w:val="false"/>
          <w:i/>
          <w:color w:val="000000"/>
          <w:sz w:val="24"/>
        </w:rPr>
        <w: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3.2</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Investment</w:t>
      </w:r>
      <w:r>
        <w:rPr>
          <w:rFonts w:ascii="Times New Roman;Times;serif" w:hAnsi="Times New Roman;Times;serif"/>
          <w:b w:val="false"/>
          <w:i/>
          <w:color w:val="000000"/>
          <w:sz w:val="24"/>
        </w:rPr>
        <w:t>.  The Buyer is acquiring the Shares for investment for the Buyer’s own account, not as a nominee or agent, and not with the view to, or for resale in connection with, any distribution thereof.  The Buyer understands that the Shares have not been, and will not be when delivered hereunder, registered under the Securities Act by reason of a specific exemption from the registration provisions of the Securities Act, the availability of which depends upon, among other things, the bona fide nature of the investment intent and the accuracy of the representations as expressed herein.  The Buyer can afford the loss of his or her entire investment in the Shares.</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3.3</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Rule 144</w:t>
      </w:r>
      <w:r>
        <w:rPr>
          <w:rFonts w:ascii="Times New Roman;Times;serif" w:hAnsi="Times New Roman;Times;serif"/>
          <w:b w:val="false"/>
          <w:i/>
          <w:color w:val="000000"/>
          <w:sz w:val="24"/>
        </w:rPr>
        <w:t>.  The Buyer acknowledges that the Shares must be held indefinitely unless subsequently registered under the Securities Act or unless an exemption from such registration is available.  The Buyer is aware of the provisions of Rule 144 promulgated under the Securities Act which permit limited resale of shares sold in a private transaction subject to the satisfaction of certain conditions, which may include, among other things, the existence of a public market for</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b w:val="false"/>
          <w:i/>
          <w:color w:val="000000"/>
          <w:sz w:val="24"/>
        </w:rPr>
      </w:pPr>
      <w:r>
        <w:rPr>
          <w:rFonts w:ascii="Times New Roman;Times;serif" w:hAnsi="Times New Roman;Times;serif"/>
          <w:b w:val="false"/>
          <w:i/>
          <w:color w:val="000000"/>
          <w:sz w:val="24"/>
        </w:rPr>
        <w:t>the shares, the availability of certain current public information about the Company, the resale occurring not less than one year after a party has purchased and paid for the security to be sold, and the sale being effected through a “broker’s transaction” or in transactions directly with a “market maker”.</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3.4</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Authorization; Corporate Power</w:t>
      </w:r>
      <w:r>
        <w:rPr>
          <w:rFonts w:ascii="Times New Roman;Times;serif" w:hAnsi="Times New Roman;Times;serif"/>
          <w:b w:val="false"/>
          <w:i/>
          <w:color w:val="000000"/>
          <w:sz w:val="24"/>
        </w:rPr>
        <w:t>.  The Buyer has all requisite legal power and authority to execute and deliver this Agreement and the Purchase Note and to carry out and perform his, her, or its obligations under the terms of this Agreement, the Purchase Note, and the transactions contemplated hereby.  This Agreement and the Purchase Note, when executed and delivered by the Buyer, will constitute valid and legally binding obligations of the Buyer, enforceable in accordance with their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3.5</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Broker’s and Finders’ Fees</w:t>
      </w:r>
      <w:r>
        <w:rPr>
          <w:rFonts w:ascii="Times New Roman;Times;serif" w:hAnsi="Times New Roman;Times;serif"/>
          <w:b w:val="false"/>
          <w:i/>
          <w:color w:val="000000"/>
          <w:sz w:val="24"/>
        </w:rPr>
        <w:t>.  The Buyer has not incurred, and will not incur, directly or indirectly, any liability for brokerage or finders’ fees or agents’ commissions or any similar charges in connection with this Agreement or any transaction contemplated hereby.</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3.6</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Legends</w:t>
      </w:r>
      <w:r>
        <w:rPr>
          <w:rFonts w:ascii="Times New Roman;Times;serif" w:hAnsi="Times New Roman;Times;serif"/>
          <w:b w:val="false"/>
          <w:i/>
          <w:color w:val="000000"/>
          <w:sz w:val="24"/>
        </w:rPr>
        <w:t>.  It is understood that each certificate representing the Shares shall bear substantially the following legend:</w:t>
      </w:r>
    </w:p>
    <w:p>
      <w:pPr>
        <w:pStyle w:val="TextBody"/>
        <w:bidi w:val="0"/>
        <w:spacing w:before="240" w:after="283"/>
        <w:ind w:left="720" w:right="0" w:hanging="0"/>
        <w:jc w:val="both"/>
        <w:rPr>
          <w:color w:val="000000"/>
        </w:rPr>
      </w:pPr>
      <w:r>
        <w:rPr>
          <w:color w:val="000000"/>
        </w:rPr>
        <w:t>“</w:t>
      </w:r>
      <w:r>
        <w:rPr>
          <w:rFonts w:ascii="Times New Roman;Times;serif" w:hAnsi="Times New Roman;Times;serif"/>
          <w:b w:val="false"/>
          <w:i/>
          <w:color w:val="000000"/>
          <w:sz w:val="24"/>
        </w:rPr>
        <w:t>THESE SECURITIES HAVE NOT BEEN REGISTERED UNDER THE SECURITIES ACT OF 1933, AS AMENDED.  THEY MAY NOT BE SOLD, OFFERED FOR SALE, PLEDGED OR HYPOTHECATED IN THE ABSENCE OF AN EFFECTIVE REGISTRATION STATEMENT AS TO THE SECURITIES UNDER SAID ACT OR AN OPINION OF COUNSEL SATISFACTORY TO THE CORPORATION THAT SUCH REGISTRATION IS NOT REQUIRED.”</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3.7</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Residence/Location of Buyer</w:t>
      </w:r>
      <w:r>
        <w:rPr>
          <w:rFonts w:ascii="Times New Roman;Times;serif" w:hAnsi="Times New Roman;Times;serif"/>
          <w:b w:val="false"/>
          <w:i/>
          <w:color w:val="000000"/>
          <w:sz w:val="24"/>
        </w:rPr>
        <w:t>.  If the Buyer is an individual, the Buyer is a permanent resident of the state indicated on the Buyer’s signature page to this Agreement.  If the Buyer is a business entity or trust, the Buyer has its principal location in, the state or other jurisdiction indicated on the Buyer’s signature page to this Agreement.</w:t>
      </w:r>
    </w:p>
    <w:p>
      <w:pPr>
        <w:pStyle w:val="TextBody"/>
        <w:bidi w:val="0"/>
        <w:spacing w:before="240" w:after="283"/>
        <w:jc w:val="center"/>
        <w:rPr>
          <w:rFonts w:ascii="Times New Roman;Times;serif" w:hAnsi="Times New Roman;Times;serif"/>
          <w:b w:val="false"/>
          <w:i/>
          <w:color w:val="000000"/>
          <w:sz w:val="24"/>
        </w:rPr>
      </w:pPr>
      <w:r>
        <w:rPr>
          <w:rFonts w:ascii="Times New Roman;Times;serif" w:hAnsi="Times New Roman;Times;serif"/>
          <w:b w:val="false"/>
          <w:i/>
          <w:color w:val="000000"/>
          <w:sz w:val="24"/>
        </w:rPr>
        <w:t>SECTION 4.</w:t>
        <w:br/>
      </w:r>
      <w:r>
        <w:rPr>
          <w:rFonts w:ascii="Times New Roman;Times;serif" w:hAnsi="Times New Roman;Times;serif"/>
          <w:b w:val="false"/>
          <w:i/>
          <w:color w:val="000000"/>
          <w:sz w:val="24"/>
          <w:u w:val="single"/>
        </w:rPr>
        <w:t>Miscellaneous</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4.1</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Entire Agreement</w:t>
      </w:r>
      <w:r>
        <w:rPr>
          <w:rFonts w:ascii="Times New Roman;Times;serif" w:hAnsi="Times New Roman;Times;serif"/>
          <w:b w:val="false"/>
          <w:i/>
          <w:color w:val="000000"/>
          <w:sz w:val="24"/>
        </w:rPr>
        <w:t>.  This Agreement, together with the Purchase Note, constitutes the entire agreement between the parties with respect to the subject matter hereof and supersedes all prior agreements and understandings, both written and oral, between the parties with respect to the subject matter hereof.</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4.2</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Assignment</w:t>
      </w:r>
      <w:r>
        <w:rPr>
          <w:rFonts w:ascii="Times New Roman;Times;serif" w:hAnsi="Times New Roman;Times;serif"/>
          <w:b w:val="false"/>
          <w:i/>
          <w:color w:val="000000"/>
          <w:sz w:val="24"/>
        </w:rPr>
        <w:t>. The rights and obligations of the Buyer hereunder may not be assigned, transferred or encumbered without the prior written consent of the Seller.  This Agreement shall be binding upon and inure to the benefit of the parties hereto and the permitted successors and assigns of the parties.</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4.3</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Governing Law; Disputes</w:t>
      </w:r>
      <w:r>
        <w:rPr>
          <w:rFonts w:ascii="Times New Roman;Times;serif" w:hAnsi="Times New Roman;Times;serif"/>
          <w:b w:val="false"/>
          <w:i/>
          <w:color w:val="000000"/>
          <w:sz w:val="24"/>
        </w:rPr>
        <w:t>. The validity, construction, enforcement, and interpretation of this Agreement are governed by the laws of Delaware without regard to principles of conflict of laws. All disputes arising from or relating to this Agreement or the transactions contemplated hereby shall be resolved exclusively in the state or federal courts located in Orange County, California.</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4.4</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Amendments</w:t>
      </w:r>
      <w:r>
        <w:rPr>
          <w:rFonts w:ascii="Times New Roman;Times;serif" w:hAnsi="Times New Roman;Times;serif"/>
          <w:b w:val="false"/>
          <w:i/>
          <w:color w:val="000000"/>
          <w:sz w:val="24"/>
        </w:rPr>
        <w:t>.  This Agreement may not be amended except in a writing executed by the party against whom enforcement of the amendment is sought.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4.5 </w:t>
      </w:r>
      <w:r>
        <w:rPr>
          <w:rFonts w:ascii="Times New Roman;Times;serif" w:hAnsi="Times New Roman;Times;serif"/>
          <w:b w:val="false"/>
          <w:i/>
          <w:color w:val="000000"/>
          <w:sz w:val="24"/>
          <w:u w:val="single"/>
        </w:rPr>
        <w:t>Counterparts</w:t>
      </w:r>
      <w:r>
        <w:rPr>
          <w:rFonts w:ascii="Times New Roman;Times;serif" w:hAnsi="Times New Roman;Times;serif"/>
          <w:b w:val="false"/>
          <w:i/>
          <w:color w:val="000000"/>
          <w:sz w:val="24"/>
        </w:rPr>
        <w:t>.  This Agreement may be executed in counterparts, each of which shall constitute an original, and all of which, together, shall constitute the same instrument.  Delivery of signed copies hereof by facsimile, PDF or other electronic format shall be deemed to be effective delivery of an original counterpart.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4.6</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Headings</w:t>
      </w:r>
      <w:r>
        <w:rPr>
          <w:rFonts w:ascii="Times New Roman;Times;serif" w:hAnsi="Times New Roman;Times;serif"/>
          <w:b w:val="false"/>
          <w:i/>
          <w:color w:val="000000"/>
          <w:sz w:val="24"/>
        </w:rPr>
        <w:t>.  The headings of the sections of this Agreement are for convenience and shall not by themselves determine the interpretation of this Agreement.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4"/>
        </w:rPr>
        <w:t>4.7</w:t>
      </w:r>
      <w:r>
        <w:rPr>
          <w:rFonts w:ascii="Times New Roman;Times;serif" w:hAnsi="Times New Roman;Times;serif"/>
          <w:b w:val="false"/>
          <w:i/>
          <w:color w:val="000000"/>
          <w:sz w:val="20"/>
        </w:rPr>
        <w:t> </w:t>
      </w:r>
      <w:r>
        <w:rPr>
          <w:rFonts w:ascii="Times New Roman;Times;serif" w:hAnsi="Times New Roman;Times;serif"/>
          <w:b w:val="false"/>
          <w:i/>
          <w:color w:val="000000"/>
          <w:sz w:val="24"/>
          <w:u w:val="single"/>
        </w:rPr>
        <w:t>Expenses</w:t>
      </w:r>
      <w:r>
        <w:rPr>
          <w:rFonts w:ascii="Times New Roman;Times;serif" w:hAnsi="Times New Roman;Times;serif"/>
          <w:b w:val="false"/>
          <w:i/>
          <w:color w:val="000000"/>
          <w:sz w:val="24"/>
        </w:rPr>
        <w:t>.  Each of the parties shall bear its own expenses and the expenses of its counsel and other agents in connection with the transactions contemplated hereby.</w:t>
      </w:r>
    </w:p>
    <w:p>
      <w:pPr>
        <w:pStyle w:val="TextBody"/>
        <w:bidi w:val="0"/>
        <w:spacing w:before="240" w:after="0"/>
        <w:jc w:val="left"/>
        <w:rPr/>
      </w:pPr>
      <w:r>
        <w:rPr/>
      </w:r>
    </w:p>
    <w:p>
      <w:pPr>
        <w:pStyle w:val="TextBody"/>
        <w:bidi w:val="0"/>
        <w:spacing w:before="240" w:after="0"/>
        <w:jc w:val="center"/>
        <w:rPr>
          <w:rFonts w:ascii="Times New Roman;Times;serif" w:hAnsi="Times New Roman;Times;serif"/>
          <w:b/>
          <w:i/>
          <w:color w:val="000000"/>
          <w:sz w:val="24"/>
        </w:rPr>
      </w:pPr>
      <w:r>
        <w:rPr>
          <w:rFonts w:ascii="Times New Roman;Times;serif" w:hAnsi="Times New Roman;Times;serif"/>
          <w:b/>
          <w:i/>
          <w:color w:val="000000"/>
          <w:sz w:val="24"/>
        </w:rPr>
        <w:t>[Signatures on following page(s)]</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both"/>
        <w:rPr>
          <w:rFonts w:ascii="Times New Roman;Times;serif" w:hAnsi="Times New Roman;Times;serif"/>
          <w:b w:val="false"/>
          <w:i/>
          <w:color w:val="000000"/>
          <w:sz w:val="24"/>
        </w:rPr>
      </w:pPr>
      <w:r>
        <w:rPr>
          <w:rFonts w:ascii="Times New Roman;Times;serif" w:hAnsi="Times New Roman;Times;serif"/>
          <w:b/>
          <w:i/>
          <w:color w:val="000000"/>
          <w:sz w:val="24"/>
        </w:rPr>
        <w:t xml:space="preserve">IN WITNESS WHEREOF, </w:t>
      </w:r>
      <w:r>
        <w:rPr>
          <w:rFonts w:ascii="Times New Roman;Times;serif" w:hAnsi="Times New Roman;Times;serif"/>
          <w:b w:val="false"/>
          <w:i/>
          <w:color w:val="000000"/>
          <w:sz w:val="24"/>
        </w:rPr>
        <w:t>the parties hereto have executed this Stock Purchase Agreement as of the day and year first above written.</w:t>
      </w:r>
    </w:p>
    <w:tbl>
      <w:tblPr>
        <w:tblW w:w="4055" w:type="dxa"/>
        <w:jc w:val="left"/>
        <w:tblInd w:w="0" w:type="dxa"/>
        <w:tblLayout w:type="fixed"/>
        <w:tblCellMar>
          <w:top w:w="0" w:type="dxa"/>
          <w:left w:w="0" w:type="dxa"/>
          <w:bottom w:w="0" w:type="dxa"/>
          <w:right w:w="0" w:type="dxa"/>
        </w:tblCellMar>
      </w:tblPr>
      <w:tblGrid>
        <w:gridCol w:w="60"/>
        <w:gridCol w:w="3995"/>
      </w:tblGrid>
      <w:tr>
        <w:trPr/>
        <w:tc>
          <w:tcPr>
            <w:tcW w:w="6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0"/>
              <w:ind w:left="5040" w:right="0" w:hanging="0"/>
              <w:jc w:val="left"/>
              <w:rPr>
                <w:b/>
                <w:sz w:val="24"/>
              </w:rPr>
            </w:pPr>
            <w:r>
              <w:rPr>
                <w:b/>
                <w:sz w:val="24"/>
              </w:rPr>
            </w:r>
          </w:p>
          <w:p>
            <w:pPr>
              <w:pStyle w:val="TableContents"/>
              <w:bidi w:val="0"/>
              <w:spacing w:before="0" w:after="0"/>
              <w:ind w:left="5040" w:right="0" w:hanging="0"/>
              <w:jc w:val="left"/>
              <w:rPr>
                <w:b/>
                <w:sz w:val="24"/>
              </w:rPr>
            </w:pPr>
            <w:r>
              <w:rPr>
                <w:b/>
                <w:sz w:val="24"/>
              </w:rPr>
              <w:t>SELLER</w:t>
            </w:r>
          </w:p>
          <w:p>
            <w:pPr>
              <w:pStyle w:val="TableContents"/>
              <w:bidi w:val="0"/>
              <w:spacing w:before="0" w:after="0"/>
              <w:ind w:left="5040" w:right="0" w:hanging="0"/>
              <w:jc w:val="left"/>
              <w:rPr>
                <w:sz w:val="24"/>
              </w:rPr>
            </w:pPr>
            <w:r>
              <w:rPr>
                <w:sz w:val="24"/>
              </w:rPr>
            </w:r>
          </w:p>
          <w:p>
            <w:pPr>
              <w:pStyle w:val="TableContents"/>
              <w:bidi w:val="0"/>
              <w:spacing w:before="0" w:after="0"/>
              <w:ind w:left="5040" w:right="0" w:hanging="0"/>
              <w:jc w:val="left"/>
              <w:rPr>
                <w:sz w:val="24"/>
              </w:rPr>
            </w:pPr>
            <w:r>
              <w:rPr>
                <w:sz w:val="24"/>
              </w:rPr>
              <w:t>LIQUIDMETAL TECHNOLOGY LTD</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By:</w:t>
            </w:r>
            <w:r>
              <w:rPr>
                <w:sz w:val="24"/>
                <w:u w:val="single"/>
              </w:rPr>
              <w:t xml:space="preserve"> /s/ Lugee Li Yeung Tak</w:t>
            </w:r>
            <w:r>
              <w:rPr>
                <w:sz w:val="24"/>
              </w:rPr>
              <w:t> </w:t>
            </w:r>
          </w:p>
          <w:p>
            <w:pPr>
              <w:pStyle w:val="TableContents"/>
              <w:bidi w:val="0"/>
              <w:spacing w:before="0" w:after="0"/>
              <w:ind w:left="5040" w:right="0" w:hanging="0"/>
              <w:jc w:val="left"/>
              <w:rPr>
                <w:sz w:val="24"/>
              </w:rPr>
            </w:pPr>
            <w:r>
              <w:rPr>
                <w:sz w:val="24"/>
              </w:rPr>
              <w:t>Lugee Li Yeung Tak</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Address:</w:t>
            </w:r>
          </w:p>
          <w:p>
            <w:pPr>
              <w:pStyle w:val="TableContents"/>
              <w:bidi w:val="0"/>
              <w:spacing w:before="0" w:after="0"/>
              <w:ind w:left="5040" w:right="0" w:hanging="0"/>
              <w:jc w:val="left"/>
              <w:rPr>
                <w:sz w:val="24"/>
              </w:rPr>
            </w:pPr>
            <w:r>
              <w:rPr>
                <w:sz w:val="24"/>
              </w:rPr>
              <w:t>Room 906, Tai Tung Building</w:t>
            </w:r>
          </w:p>
          <w:p>
            <w:pPr>
              <w:pStyle w:val="TableContents"/>
              <w:bidi w:val="0"/>
              <w:spacing w:before="0" w:after="0"/>
              <w:ind w:left="5040" w:right="0" w:hanging="0"/>
              <w:jc w:val="left"/>
              <w:rPr>
                <w:sz w:val="24"/>
              </w:rPr>
            </w:pPr>
            <w:r>
              <w:rPr>
                <w:sz w:val="24"/>
              </w:rPr>
              <w:t>8 Fleming Road</w:t>
            </w:r>
          </w:p>
          <w:p>
            <w:pPr>
              <w:pStyle w:val="TableContents"/>
              <w:bidi w:val="0"/>
              <w:spacing w:before="0" w:after="0"/>
              <w:ind w:left="5040" w:right="0" w:hanging="0"/>
              <w:jc w:val="left"/>
              <w:rPr>
                <w:sz w:val="24"/>
              </w:rPr>
            </w:pPr>
            <w:r>
              <w:rPr>
                <w:sz w:val="24"/>
              </w:rPr>
              <w:t>Wanchai, Hong Kong</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Email:</w:t>
            </w:r>
          </w:p>
          <w:p>
            <w:pPr>
              <w:pStyle w:val="TableContents"/>
              <w:bidi w:val="0"/>
              <w:spacing w:before="240" w:after="283"/>
              <w:jc w:val="left"/>
              <w:rPr/>
            </w:pPr>
            <w:r>
              <w:rPr/>
            </w:r>
          </w:p>
          <w:p>
            <w:pPr>
              <w:pStyle w:val="TableContents"/>
              <w:bidi w:val="0"/>
              <w:spacing w:before="0" w:after="0"/>
              <w:jc w:val="left"/>
              <w:rPr/>
            </w:pPr>
            <w:r>
              <w:rPr/>
            </w:r>
          </w:p>
          <w:p>
            <w:pPr>
              <w:pStyle w:val="TableContents"/>
              <w:bidi w:val="0"/>
              <w:spacing w:before="240" w:after="283"/>
              <w:ind w:left="5040" w:right="0" w:hanging="0"/>
              <w:jc w:val="left"/>
              <w:rPr>
                <w:b/>
                <w:sz w:val="24"/>
              </w:rPr>
            </w:pPr>
            <w:r>
              <w:rPr>
                <w:b/>
                <w:sz w:val="24"/>
              </w:rPr>
              <w:t>BUYER:</w:t>
            </w:r>
          </w:p>
          <w:p>
            <w:pPr>
              <w:pStyle w:val="TableContents"/>
              <w:bidi w:val="0"/>
              <w:spacing w:before="0" w:after="0"/>
              <w:jc w:val="left"/>
              <w:rPr/>
            </w:pPr>
            <w:r>
              <w:rPr/>
            </w:r>
          </w:p>
          <w:p>
            <w:pPr>
              <w:pStyle w:val="TableContents"/>
              <w:bidi w:val="0"/>
              <w:spacing w:before="0" w:after="0"/>
              <w:ind w:left="5040" w:right="0" w:hanging="0"/>
              <w:jc w:val="left"/>
              <w:rPr>
                <w:b/>
                <w:sz w:val="24"/>
              </w:rPr>
            </w:pPr>
            <w:r>
              <w:rPr>
                <w:b/>
                <w:sz w:val="24"/>
              </w:rPr>
              <w:t>LUTOS CAPITAL, LLC.</w:t>
            </w:r>
          </w:p>
          <w:p>
            <w:pPr>
              <w:pStyle w:val="TableContents"/>
              <w:bidi w:val="0"/>
              <w:spacing w:before="0" w:after="0"/>
              <w:jc w:val="left"/>
              <w:rPr/>
            </w:pPr>
            <w:r>
              <w:rPr/>
            </w:r>
          </w:p>
          <w:p>
            <w:pPr>
              <w:pStyle w:val="TableContents"/>
              <w:bidi w:val="0"/>
              <w:spacing w:before="0" w:after="0"/>
              <w:ind w:left="5040" w:right="0" w:hanging="0"/>
              <w:jc w:val="left"/>
              <w:rPr/>
            </w:pPr>
            <w:r>
              <w:rPr>
                <w:sz w:val="24"/>
              </w:rPr>
              <w:t>By:</w:t>
            </w:r>
            <w:r>
              <w:rPr>
                <w:sz w:val="24"/>
                <w:u w:val="single"/>
              </w:rPr>
              <w:t xml:space="preserve"> /s/ Anthony Pong</w:t>
            </w:r>
            <w:r>
              <w:rPr/>
              <w:t> </w:t>
            </w:r>
          </w:p>
          <w:p>
            <w:pPr>
              <w:pStyle w:val="TableContents"/>
              <w:bidi w:val="0"/>
              <w:spacing w:before="0" w:after="0"/>
              <w:ind w:left="5040" w:right="0" w:hanging="0"/>
              <w:jc w:val="left"/>
              <w:rPr>
                <w:sz w:val="24"/>
              </w:rPr>
            </w:pPr>
            <w:r>
              <w:rPr>
                <w:sz w:val="24"/>
              </w:rPr>
              <w:t>Anthony Pong, Manager</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Address:</w:t>
            </w:r>
          </w:p>
          <w:p>
            <w:pPr>
              <w:pStyle w:val="TableContents"/>
              <w:bidi w:val="0"/>
              <w:spacing w:before="0" w:after="0"/>
              <w:ind w:left="5040" w:right="0" w:hanging="0"/>
              <w:jc w:val="left"/>
              <w:rPr>
                <w:sz w:val="24"/>
              </w:rPr>
            </w:pPr>
            <w:r>
              <w:rPr>
                <w:sz w:val="24"/>
              </w:rPr>
              <w:t>2804 Dawley Ave.</w:t>
            </w:r>
          </w:p>
          <w:p>
            <w:pPr>
              <w:pStyle w:val="TableContents"/>
              <w:bidi w:val="0"/>
              <w:spacing w:before="0" w:after="0"/>
              <w:ind w:left="5040" w:right="0" w:hanging="0"/>
              <w:jc w:val="left"/>
              <w:rPr>
                <w:sz w:val="24"/>
              </w:rPr>
            </w:pPr>
            <w:r>
              <w:rPr>
                <w:sz w:val="24"/>
              </w:rPr>
              <w:t>Orlando, FL 32806</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Email:</w:t>
            </w:r>
          </w:p>
        </w:tc>
      </w:tr>
    </w:tbl>
    <w:p>
      <w:pPr>
        <w:pStyle w:val="TextBody"/>
        <w:bidi w:val="0"/>
        <w:spacing w:before="240" w:after="283"/>
        <w:ind w:left="0" w:right="0" w:firstLine="720"/>
        <w:jc w:val="left"/>
        <w:rPr/>
      </w:pPr>
      <w:r>
        <w:rPr/>
      </w:r>
    </w:p>
    <w:p>
      <w:pPr>
        <w:pStyle w:val="TextBody"/>
        <w:bidi w:val="0"/>
        <w:spacing w:before="240" w:after="0"/>
        <w:jc w:val="left"/>
        <w:rPr/>
      </w:pPr>
      <w:r>
        <w:rPr/>
      </w:r>
    </w:p>
    <w:p>
      <w:pPr>
        <w:pStyle w:val="TextBody"/>
        <w:bidi w:val="0"/>
        <w:spacing w:before="24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240"/>
        <w:jc w:val="left"/>
        <w:rPr/>
      </w:pPr>
      <w:r>
        <w:rPr/>
      </w:r>
    </w:p>
    <w:p>
      <w:pPr>
        <w:pStyle w:val="TextBody"/>
        <w:bidi w:val="0"/>
        <w:spacing w:before="240" w:after="283"/>
        <w:jc w:val="center"/>
        <w:rPr>
          <w:rFonts w:ascii="Times New Roman;Times;serif" w:hAnsi="Times New Roman;Times;serif"/>
          <w:b/>
          <w:i/>
          <w:color w:val="000000"/>
          <w:sz w:val="24"/>
          <w:u w:val="single"/>
        </w:rPr>
      </w:pPr>
      <w:r>
        <w:rPr>
          <w:rFonts w:ascii="Times New Roman;Times;serif" w:hAnsi="Times New Roman;Times;serif"/>
          <w:b/>
          <w:i/>
          <w:color w:val="000000"/>
          <w:sz w:val="24"/>
          <w:u w:val="single"/>
        </w:rPr>
        <w:t>EXHIBIT A</w:t>
      </w:r>
    </w:p>
    <w:p>
      <w:pPr>
        <w:pStyle w:val="TextBody"/>
        <w:bidi w:val="0"/>
        <w:spacing w:before="240" w:after="283"/>
        <w:jc w:val="center"/>
        <w:rPr>
          <w:rFonts w:ascii="Times New Roman;Times;serif" w:hAnsi="Times New Roman;Times;serif"/>
          <w:b/>
          <w:i/>
          <w:color w:val="000000"/>
          <w:sz w:val="24"/>
        </w:rPr>
      </w:pPr>
      <w:r>
        <w:rPr>
          <w:rFonts w:ascii="Times New Roman;Times;serif" w:hAnsi="Times New Roman;Times;serif"/>
          <w:b/>
          <w:i/>
          <w:color w:val="000000"/>
          <w:sz w:val="24"/>
        </w:rPr>
        <w:t>FORM OF PURCHASE NOTE</w:t>
      </w:r>
    </w:p>
    <w:p>
      <w:pPr>
        <w:pStyle w:val="TextBody"/>
        <w:bidi w:val="0"/>
        <w:spacing w:before="240" w:after="283"/>
        <w:jc w:val="center"/>
        <w:rPr>
          <w:rFonts w:ascii="Times New Roman;Times;serif" w:hAnsi="Times New Roman;Times;serif"/>
          <w:b w:val="false"/>
          <w:i/>
          <w:color w:val="000000"/>
          <w:sz w:val="24"/>
        </w:rPr>
      </w:pPr>
      <w:r>
        <w:rPr>
          <w:rFonts w:ascii="Times New Roman;Times;serif" w:hAnsi="Times New Roman;Times;serif"/>
          <w:b w:val="false"/>
          <w:i/>
          <w:color w:val="000000"/>
          <w:sz w:val="24"/>
        </w:rPr>
        <w:t>(attached)</w:t>
      </w:r>
    </w:p>
    <w:p>
      <w:pPr>
        <w:pStyle w:val="HorizontalLine"/>
        <w:pBdr>
          <w:bottom w:val="single" w:sz="12" w:space="0" w:color="808080"/>
        </w:pBdr>
        <w:bidi w:val="0"/>
        <w:spacing w:before="200" w:after="200"/>
        <w:jc w:val="left"/>
        <w:rPr/>
      </w:pPr>
      <w:r>
        <w:rPr/>
      </w:r>
    </w:p>
    <w:p>
      <w:pPr>
        <w:pStyle w:val="TextBody"/>
        <w:bidi w:val="0"/>
        <w:spacing w:before="240" w:after="0"/>
        <w:jc w:val="left"/>
        <w:rPr/>
      </w:pPr>
      <w:r>
        <w:rPr/>
      </w:r>
    </w:p>
    <w:p>
      <w:pPr>
        <w:pStyle w:val="TextBody"/>
        <w:bidi w:val="0"/>
        <w:spacing w:before="240" w:after="0"/>
        <w:jc w:val="left"/>
        <w:rPr/>
      </w:pPr>
      <w:r>
        <w:rPr/>
      </w:r>
    </w:p>
    <w:p>
      <w:pPr>
        <w:pStyle w:val="TextBody"/>
        <w:bidi w:val="0"/>
        <w:spacing w:before="30" w:after="283"/>
        <w:jc w:val="center"/>
        <w:rPr>
          <w:rFonts w:ascii="Times New Roman;Times;serif" w:hAnsi="Times New Roman;Times;serif"/>
          <w:b w:val="false"/>
          <w:i/>
          <w:color w:val="000000"/>
          <w:sz w:val="24"/>
        </w:rPr>
      </w:pPr>
      <w:r>
        <w:rPr>
          <w:rFonts w:ascii="Times New Roman;Times;serif" w:hAnsi="Times New Roman;Times;serif"/>
          <w:b w:val="false"/>
          <w:i/>
          <w:color w:val="000000"/>
          <w:sz w:val="24"/>
        </w:rPr>
        <w:t>PROMISSORY NOTE</w:t>
      </w:r>
    </w:p>
    <w:p>
      <w:pPr>
        <w:pStyle w:val="TextBody"/>
        <w:bidi w:val="0"/>
        <w:spacing w:before="240" w:after="0"/>
        <w:jc w:val="left"/>
        <w:rPr/>
      </w:pPr>
      <w:r>
        <w:rPr/>
      </w:r>
    </w:p>
    <w:p>
      <w:pPr>
        <w:pStyle w:val="TextBody"/>
        <w:bidi w:val="0"/>
        <w:spacing w:before="30" w:after="283"/>
        <w:jc w:val="left"/>
        <w:rPr/>
      </w:pPr>
      <w:r>
        <w:rPr/>
      </w:r>
    </w:p>
    <w:p>
      <w:pPr>
        <w:pStyle w:val="TextBody"/>
        <w:bidi w:val="0"/>
        <w:spacing w:before="30" w:after="283"/>
        <w:jc w:val="left"/>
        <w:rPr>
          <w:rFonts w:ascii="Times New Roman;Times;serif" w:hAnsi="Times New Roman;Times;serif"/>
          <w:b w:val="false"/>
          <w:i/>
          <w:color w:val="000000"/>
          <w:sz w:val="24"/>
        </w:rPr>
      </w:pPr>
      <w:r>
        <w:rPr>
          <w:rFonts w:ascii="Times New Roman;Times;serif" w:hAnsi="Times New Roman;Times;serif"/>
          <w:b w:val="false"/>
          <w:i/>
          <w:color w:val="000000"/>
          <w:sz w:val="24"/>
        </w:rPr>
        <w:t xml:space="preserve">Amount:  </w:t>
      </w:r>
      <w:r>
        <w:rPr>
          <w:rFonts w:ascii="Times New Roman;Times;serif" w:hAnsi="Times New Roman;Times;serif"/>
          <w:b/>
          <w:i/>
          <w:color w:val="000000"/>
          <w:sz w:val="24"/>
        </w:rPr>
        <w:t>$7,191,515.52</w:t>
      </w:r>
    </w:p>
    <w:p>
      <w:pPr>
        <w:pStyle w:val="TextBody"/>
        <w:bidi w:val="0"/>
        <w:spacing w:before="30" w:after="283"/>
        <w:jc w:val="left"/>
        <w:rPr>
          <w:rFonts w:ascii="Times New Roman;Times;serif" w:hAnsi="Times New Roman;Times;serif"/>
          <w:b w:val="false"/>
          <w:i/>
          <w:color w:val="000000"/>
          <w:sz w:val="24"/>
        </w:rPr>
      </w:pPr>
      <w:r>
        <w:rPr>
          <w:rFonts w:ascii="Times New Roman;Times;serif" w:hAnsi="Times New Roman;Times;serif"/>
          <w:b w:val="false"/>
          <w:i/>
          <w:color w:val="000000"/>
          <w:sz w:val="24"/>
        </w:rPr>
        <w:t>Term:  Three Years</w:t>
      </w:r>
    </w:p>
    <w:p>
      <w:pPr>
        <w:pStyle w:val="TextBody"/>
        <w:bidi w:val="0"/>
        <w:spacing w:before="30" w:after="283"/>
        <w:jc w:val="left"/>
        <w:rPr>
          <w:rFonts w:ascii="Times New Roman;Times;serif" w:hAnsi="Times New Roman;Times;serif"/>
          <w:b w:val="false"/>
          <w:i/>
          <w:color w:val="000000"/>
          <w:sz w:val="24"/>
        </w:rPr>
      </w:pPr>
      <w:r>
        <w:rPr>
          <w:rFonts w:ascii="Times New Roman;Times;serif" w:hAnsi="Times New Roman;Times;serif"/>
          <w:b w:val="false"/>
          <w:i/>
          <w:color w:val="000000"/>
          <w:sz w:val="24"/>
        </w:rPr>
        <w:t>Maturity Date:  October 9, 2027</w:t>
      </w:r>
    </w:p>
    <w:p>
      <w:pPr>
        <w:pStyle w:val="TextBody"/>
        <w:bidi w:val="0"/>
        <w:spacing w:before="30" w:after="283"/>
        <w:jc w:val="left"/>
        <w:rPr>
          <w:rFonts w:ascii="Times New Roman;Times;serif" w:hAnsi="Times New Roman;Times;serif"/>
          <w:b w:val="false"/>
          <w:i/>
          <w:color w:val="000000"/>
          <w:sz w:val="24"/>
        </w:rPr>
      </w:pPr>
      <w:r>
        <w:rPr>
          <w:rFonts w:ascii="Times New Roman;Times;serif" w:hAnsi="Times New Roman;Times;serif"/>
          <w:b w:val="false"/>
          <w:i/>
          <w:color w:val="000000"/>
          <w:sz w:val="24"/>
        </w:rPr>
        <w:t>Location:  Orlando, Florida</w:t>
      </w:r>
    </w:p>
    <w:p>
      <w:pPr>
        <w:pStyle w:val="TextBody"/>
        <w:bidi w:val="0"/>
        <w:spacing w:before="30" w:after="283"/>
        <w:jc w:val="left"/>
        <w:rPr>
          <w:rFonts w:ascii="Times New Roman;Times;serif" w:hAnsi="Times New Roman;Times;serif"/>
          <w:b w:val="false"/>
          <w:i/>
          <w:color w:val="000000"/>
          <w:sz w:val="24"/>
        </w:rPr>
      </w:pPr>
      <w:r>
        <w:rPr>
          <w:rFonts w:ascii="Times New Roman;Times;serif" w:hAnsi="Times New Roman;Times;serif"/>
          <w:b w:val="false"/>
          <w:i/>
          <w:color w:val="000000"/>
          <w:sz w:val="24"/>
        </w:rPr>
        <w:t>Date:  October 10, 2024</w:t>
      </w:r>
    </w:p>
    <w:p>
      <w:pPr>
        <w:pStyle w:val="TextBody"/>
        <w:bidi w:val="0"/>
        <w:spacing w:before="240" w:after="0"/>
        <w:jc w:val="left"/>
        <w:rPr/>
      </w:pPr>
      <w:r>
        <w:rPr/>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Agreement to Pay</w:t>
      </w:r>
      <w:r>
        <w:rPr>
          <w:rFonts w:ascii="Times New Roman;Times;serif" w:hAnsi="Times New Roman;Times;serif"/>
          <w:b w:val="false"/>
          <w:i/>
          <w:color w:val="000000"/>
          <w:sz w:val="24"/>
        </w:rPr>
        <w:t>.   </w:t>
      </w:r>
      <w:r>
        <w:rPr>
          <w:rFonts w:ascii="Times New Roman;Times;serif" w:hAnsi="Times New Roman;Times;serif"/>
          <w:b/>
          <w:i/>
          <w:color w:val="000000"/>
          <w:sz w:val="24"/>
        </w:rPr>
        <w:t>FOR VALUE RECEIVED</w:t>
      </w:r>
      <w:r>
        <w:rPr>
          <w:rFonts w:ascii="Times New Roman;Times;serif" w:hAnsi="Times New Roman;Times;serif"/>
          <w:b w:val="false"/>
          <w:i/>
          <w:color w:val="000000"/>
          <w:sz w:val="24"/>
        </w:rPr>
        <w:t>, the undersigned, </w:t>
      </w:r>
      <w:r>
        <w:rPr>
          <w:rFonts w:ascii="Times New Roman;Times;serif" w:hAnsi="Times New Roman;Times;serif"/>
          <w:b/>
          <w:i/>
          <w:color w:val="000000"/>
          <w:sz w:val="24"/>
        </w:rPr>
        <w:t>LUTOS CAPITAL, LLC.,</w:t>
      </w:r>
      <w:r>
        <w:rPr>
          <w:rFonts w:ascii="Times New Roman;Times;serif" w:hAnsi="Times New Roman;Times;serif"/>
          <w:b w:val="false"/>
          <w:i/>
          <w:color w:val="000000"/>
          <w:sz w:val="24"/>
        </w:rPr>
        <w:t> a Florida limited liability company (collectively, if more than one, “</w:t>
      </w:r>
      <w:r>
        <w:rPr>
          <w:rFonts w:ascii="Times New Roman;Times;serif" w:hAnsi="Times New Roman;Times;serif"/>
          <w:b/>
          <w:i/>
          <w:color w:val="000000"/>
          <w:sz w:val="24"/>
          <w:u w:val="single"/>
        </w:rPr>
        <w:t>Borrower</w:t>
      </w:r>
      <w:r>
        <w:rPr>
          <w:rFonts w:ascii="Times New Roman;Times;serif" w:hAnsi="Times New Roman;Times;serif"/>
          <w:b w:val="false"/>
          <w:i/>
          <w:color w:val="000000"/>
          <w:sz w:val="24"/>
        </w:rPr>
        <w:t>”), whose mailing address is 2804 Dawley Ave., Orlando, FL 32806, hereby agrees and promises to pay to the order of </w:t>
      </w:r>
      <w:r>
        <w:rPr>
          <w:rFonts w:ascii="Times New Roman;Times;serif" w:hAnsi="Times New Roman;Times;serif"/>
          <w:b/>
          <w:i/>
          <w:color w:val="000000"/>
          <w:sz w:val="24"/>
        </w:rPr>
        <w:t>LIQIDMETAL TECHNOLOGY LIMITED</w:t>
      </w:r>
      <w:r>
        <w:rPr>
          <w:rFonts w:ascii="Times New Roman;Times;serif" w:hAnsi="Times New Roman;Times;serif"/>
          <w:b w:val="false"/>
          <w:i/>
          <w:color w:val="000000"/>
          <w:sz w:val="24"/>
        </w:rPr>
        <w:t>, a Hong Kong corporation, its endorsees, successors and assigns (“</w:t>
      </w:r>
      <w:r>
        <w:rPr>
          <w:rFonts w:ascii="Times New Roman;Times;serif" w:hAnsi="Times New Roman;Times;serif"/>
          <w:b/>
          <w:i/>
          <w:color w:val="000000"/>
          <w:sz w:val="24"/>
          <w:u w:val="single"/>
        </w:rPr>
        <w:t>Lender</w:t>
      </w:r>
      <w:r>
        <w:rPr>
          <w:rFonts w:ascii="Times New Roman;Times;serif" w:hAnsi="Times New Roman;Times;serif"/>
          <w:b w:val="false"/>
          <w:i/>
          <w:color w:val="000000"/>
          <w:sz w:val="24"/>
        </w:rPr>
        <w:t>”), at its principal office and mailing address at Room 906, Tai Tung building, 8 Fleming Road, Wanchai, Hong Kong, or such other place as Lender may from time to time designate, the principal sum of Seven Million One Hundred and Ninety-One Thousand Five Hundred and Fifteen Dollars and Fifty-Two Cents ($7,191,515.52) (“Loan”), together with interest on the unpaid principal balance at the rates provided for herein, payable in lawful money of the United States of America which shall be legal tender for public and private debts at the time of payment.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2.</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Interest Rate</w:t>
      </w:r>
      <w:r>
        <w:rPr>
          <w:rFonts w:ascii="Times New Roman;Times;serif" w:hAnsi="Times New Roman;Times;serif"/>
          <w:b w:val="false"/>
          <w:i/>
          <w:color w:val="000000"/>
          <w:sz w:val="24"/>
        </w:rPr>
        <w:t>.   The outstanding principal balance hereof shall bear interest at the rate of five percent (5.00%) per annum (“</w:t>
      </w:r>
      <w:r>
        <w:rPr>
          <w:rFonts w:ascii="Times New Roman;Times;serif" w:hAnsi="Times New Roman;Times;serif"/>
          <w:b/>
          <w:i/>
          <w:color w:val="000000"/>
          <w:sz w:val="24"/>
          <w:u w:val="single"/>
        </w:rPr>
        <w:t>Regular Rate</w:t>
      </w:r>
      <w:r>
        <w:rPr>
          <w:rFonts w:ascii="Times New Roman;Times;serif" w:hAnsi="Times New Roman;Times;serif"/>
          <w:b w:val="false"/>
          <w:i/>
          <w:color w:val="000000"/>
          <w:sz w:val="24"/>
        </w:rPr>
        <w: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3.</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Monthly Payments</w:t>
      </w:r>
      <w:r>
        <w:rPr>
          <w:rFonts w:ascii="Times New Roman;Times;serif" w:hAnsi="Times New Roman;Times;serif"/>
          <w:b w:val="false"/>
          <w:i/>
          <w:color w:val="000000"/>
          <w:sz w:val="24"/>
        </w:rPr>
        <w:t>.   Principal and interest upon this Promissory Note shall be paid as follows:</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i/>
          <w:color w:val="000000"/>
          <w:sz w:val="24"/>
        </w:rPr>
        <w:t>a.</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Principal</w:t>
      </w:r>
      <w:r>
        <w:rPr>
          <w:rFonts w:ascii="Times New Roman;Times;serif" w:hAnsi="Times New Roman;Times;serif"/>
          <w:b w:val="false"/>
          <w:i/>
          <w:color w:val="000000"/>
          <w:sz w:val="24"/>
        </w:rPr>
        <w:t>.  Any payments paid by Borrower and received by Lender before the maturity of the Loan shall be credited to the Principal of the Loan.</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i/>
          <w:color w:val="000000"/>
          <w:sz w:val="24"/>
        </w:rPr>
        <w:t>b.</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Interest</w:t>
      </w:r>
      <w:r>
        <w:rPr>
          <w:rFonts w:ascii="Times New Roman;Times;serif" w:hAnsi="Times New Roman;Times;serif"/>
          <w:b w:val="false"/>
          <w:i/>
          <w:color w:val="000000"/>
          <w:sz w:val="24"/>
        </w:rPr>
        <w:t>.  All interest shall be payable at the maturity of the Loan.  Any interests associated with the principal of the Loan that has been repaid by the maturity date of the Loan shall be waived.</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i/>
          <w:color w:val="000000"/>
          <w:sz w:val="24"/>
        </w:rPr>
        <w:t>c.</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Default Interest</w:t>
      </w:r>
      <w:r>
        <w:rPr>
          <w:rFonts w:ascii="Times New Roman;Times;serif" w:hAnsi="Times New Roman;Times;serif"/>
          <w:b w:val="false"/>
          <w:i/>
          <w:color w:val="000000"/>
          <w:sz w:val="24"/>
        </w:rPr>
        <w:t>.  Any interest associated with the outstanding principal of the Loan after the maturity date of the loan shall bear interest at the rate of fifteen percent (15.00%) per annum (“</w:t>
      </w:r>
      <w:r>
        <w:rPr>
          <w:rFonts w:ascii="Times New Roman;Times;serif" w:hAnsi="Times New Roman;Times;serif"/>
          <w:b/>
          <w:i/>
          <w:color w:val="000000"/>
          <w:sz w:val="24"/>
          <w:u w:val="single"/>
        </w:rPr>
        <w:t>Default Rate</w:t>
      </w:r>
      <w:r>
        <w:rPr>
          <w:rFonts w:ascii="Times New Roman;Times;serif" w:hAnsi="Times New Roman;Times;serif"/>
          <w:b w:val="false"/>
          <w:i/>
          <w:color w:val="000000"/>
          <w:sz w:val="24"/>
        </w:rPr>
        <w:t>”).</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i/>
          <w:color w:val="000000"/>
          <w:sz w:val="24"/>
        </w:rPr>
        <w:t>d.</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Balloon Payment</w:t>
      </w:r>
      <w:r>
        <w:rPr>
          <w:rFonts w:ascii="Times New Roman;Times;serif" w:hAnsi="Times New Roman;Times;serif"/>
          <w:b w:val="false"/>
          <w:i/>
          <w:color w:val="000000"/>
          <w:sz w:val="24"/>
        </w:rPr>
        <w:t>.   This is a balloon note and the principal and the interest of the Loan is expected to be paid on the maturity date of the Loan.  If the Loan is not fully repaid by Borrower on the maturity date of the Loan, the accrued interest shall be added to the principal of the Loan.</w:t>
      </w:r>
    </w:p>
    <w:p>
      <w:pPr>
        <w:pStyle w:val="TextBody"/>
        <w:bidi w:val="0"/>
        <w:spacing w:before="240" w:after="0"/>
        <w:jc w:val="left"/>
        <w:rPr/>
      </w:pPr>
      <w:r>
        <w:rPr/>
      </w:r>
    </w:p>
    <w:p>
      <w:pPr>
        <w:pStyle w:val="TextBody"/>
        <w:bidi w:val="0"/>
        <w:spacing w:before="240" w:after="0"/>
        <w:ind w:left="0" w:right="0" w:hanging="0"/>
        <w:jc w:val="left"/>
        <w:rPr>
          <w:color w:val="000000"/>
        </w:rPr>
      </w:pPr>
      <w:r>
        <w:rPr>
          <w:color w:val="000000"/>
        </w:rPr>
        <w:t xml:space="preserve">                        </w:t>
      </w:r>
      <w:r>
        <w:rPr>
          <w:rFonts w:ascii="Times New Roman;Times;serif" w:hAnsi="Times New Roman;Times;serif"/>
          <w:b/>
          <w:i/>
          <w:color w:val="000000"/>
          <w:sz w:val="24"/>
        </w:rPr>
        <w:t>e.</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Payment Method</w:t>
      </w:r>
      <w:r>
        <w:rPr>
          <w:rFonts w:ascii="Times New Roman;Times;serif" w:hAnsi="Times New Roman;Times;serif"/>
          <w:b w:val="false"/>
          <w:i/>
          <w:color w:val="000000"/>
          <w:sz w:val="24"/>
        </w:rPr>
        <w:t>.    Payments under this Promissory Note shall be made by preauthorized Automated Clearinghouse transactions (“</w:t>
      </w:r>
      <w:r>
        <w:rPr>
          <w:rFonts w:ascii="Times New Roman;Times;serif" w:hAnsi="Times New Roman;Times;serif"/>
          <w:b/>
          <w:i/>
          <w:color w:val="000000"/>
          <w:sz w:val="24"/>
        </w:rPr>
        <w:t>ACH</w:t>
      </w:r>
      <w:r>
        <w:rPr>
          <w:rFonts w:ascii="Times New Roman;Times;serif" w:hAnsi="Times New Roman;Times;serif"/>
          <w:b w:val="false"/>
          <w:i/>
          <w:color w:val="000000"/>
          <w:sz w:val="24"/>
        </w:rPr>
        <w:t>”) or by</w:t>
      </w:r>
      <w:r>
        <w:rPr>
          <w:rFonts w:ascii="Times New Roman;Times;serif" w:hAnsi="Times New Roman;Times;serif"/>
          <w:b w:val="false"/>
          <w:i/>
          <w:color w:val="000000"/>
          <w:sz w:val="20"/>
        </w:rPr>
        <w:t xml:space="preserve"> </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b w:val="false"/>
          <w:i/>
          <w:color w:val="000000"/>
          <w:sz w:val="24"/>
        </w:rPr>
      </w:pPr>
      <w:r>
        <w:rPr>
          <w:rFonts w:ascii="Times New Roman;Times;serif" w:hAnsi="Times New Roman;Times;serif"/>
          <w:b w:val="false"/>
          <w:i/>
          <w:color w:val="000000"/>
          <w:sz w:val="24"/>
        </w:rPr>
        <w:t>such other reasonable method as Lender directs, to such bank account or other place as Lender may from time to time designate to Borrower in writing.</w:t>
      </w:r>
    </w:p>
    <w:p>
      <w:pPr>
        <w:pStyle w:val="TextBody"/>
        <w:bidi w:val="0"/>
        <w:spacing w:lineRule="auto" w:line="240" w:before="240" w:after="283"/>
        <w:ind w:left="0" w:right="0" w:hanging="0"/>
        <w:jc w:val="left"/>
        <w:rPr>
          <w:color w:val="000000"/>
        </w:rPr>
      </w:pPr>
      <w:r>
        <w:rPr>
          <w:color w:val="000000"/>
        </w:rPr>
        <w:t xml:space="preserve">                </w:t>
      </w:r>
      <w:r>
        <w:rPr>
          <w:rFonts w:ascii="Times New Roman;Times;serif" w:hAnsi="Times New Roman;Times;serif"/>
          <w:b/>
          <w:i/>
          <w:color w:val="000000"/>
          <w:sz w:val="24"/>
        </w:rPr>
        <w:t>f.</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Application of Payments</w:t>
      </w:r>
      <w:r>
        <w:rPr>
          <w:rFonts w:ascii="Times New Roman;Times;serif" w:hAnsi="Times New Roman;Times;serif"/>
          <w:b w:val="false"/>
          <w:i/>
          <w:color w:val="000000"/>
          <w:sz w:val="24"/>
        </w:rPr>
        <w:t>.   All payments shall be applied first (1st) to principal of the Loan, second (2nd) to accrued interest at the Regular Rate on the outstanding amount of the principal, and third (3rd) to accrued interest at the Default Rate on the outstanding amount of the principal.</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4.</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Late Charge</w:t>
      </w:r>
      <w:r>
        <w:rPr>
          <w:rFonts w:ascii="Times New Roman;Times;serif" w:hAnsi="Times New Roman;Times;serif"/>
          <w:b w:val="false"/>
          <w:i/>
          <w:color w:val="000000"/>
          <w:sz w:val="24"/>
        </w:rPr>
        <w:t>.   There is no Late Charge fees associated with the payment of the Loan by Borrower.</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5.</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Default</w:t>
      </w:r>
      <w:r>
        <w:rPr>
          <w:rFonts w:ascii="Times New Roman;Times;serif" w:hAnsi="Times New Roman;Times;serif"/>
          <w:b w:val="false"/>
          <w:i/>
          <w:color w:val="000000"/>
          <w:sz w:val="24"/>
        </w:rPr>
        <w:t>.   Borrower is in Default if Borrower fails to pay off all the outstanding balance of the Loan at the maturity of the Loan.  Upon the occurrence Default, the entire unpaid principal balance together with accrued interest thereon at the Regular Rate and all other obligations arising under this Promissory Note, shall become, without notice, immediately due and payable at the option of Lender.</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6.</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Lender Fees and Expenses</w:t>
      </w:r>
      <w:r>
        <w:rPr>
          <w:rFonts w:ascii="Times New Roman;Times;serif" w:hAnsi="Times New Roman;Times;serif"/>
          <w:b w:val="false"/>
          <w:i/>
          <w:color w:val="000000"/>
          <w:sz w:val="24"/>
        </w:rPr>
        <w:t>.   Borrower agrees to pay to Lender, immediately upon written notice from Lender, all actual costs, expenses, disbursements, and legal fees and expenses incurred by Lender and its counsel in connection with: (a) the collection, attempted collection, or negotiation and documentation of any settlement or workout of any payment due hereunder, and (b) any suit or proceeding whatsoever in regard to this Promissory Note, including, without limitation, in connection with any litigation, mediation, bankruptcy or administrative proceeding, and including any appellate proceeding in connection therewith. It is the intent of the parties that Borrower pay all expenses and attorneys’ fees incurred by Lender as a result of Lender’s entering into the loan transaction evidenced by this Promissory Note.</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7.</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Time of the Essence</w:t>
      </w:r>
      <w:r>
        <w:rPr>
          <w:rFonts w:ascii="Times New Roman;Times;serif" w:hAnsi="Times New Roman;Times;serif"/>
          <w:b w:val="false"/>
          <w:i/>
          <w:color w:val="000000"/>
          <w:sz w:val="24"/>
        </w:rPr>
        <w:t>.   Time is of the essence with regard to the performance of the obligations of Borrower in this Promissory Note and each and every term, covenant and condition herein by or applicable to Borrower.</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8.</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Governing Law</w:t>
      </w:r>
      <w:r>
        <w:rPr>
          <w:rFonts w:ascii="Times New Roman;Times;serif" w:hAnsi="Times New Roman;Times;serif"/>
          <w:b w:val="false"/>
          <w:i/>
          <w:color w:val="000000"/>
          <w:sz w:val="24"/>
        </w:rPr>
        <w:t>.   This Promissory Note and the rights and obligations of all parties hereunder shall be governed by and construed in accordance with the laws of the State of Florida.</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9.</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Jurisdiction</w:t>
      </w:r>
      <w:r>
        <w:rPr>
          <w:rFonts w:ascii="Times New Roman;Times;serif" w:hAnsi="Times New Roman;Times;serif"/>
          <w:b w:val="false"/>
          <w:i/>
          <w:color w:val="000000"/>
          <w:sz w:val="24"/>
        </w:rPr>
        <w:t>.   The parties hereto irrevocably (a) agree that any suit, action or other legal proceeding arising out of or relating to this Promissory Note shall be brought in a court of record of the State of Florida sitting in Miami-Dade County, Florida, or in the courts of the United States of America located in such county and state, (b) agree to the exclusive jurisdiction of such court in any suit, action or proceeding, and (c) waive any objection which it may have to the laying of venue of any such suit, action or proceeding in such courts and any claim that any such suit, action or proceeding has been brought in an inconvenient forum.</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10.</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Interest Limitation</w:t>
      </w:r>
      <w:r>
        <w:rPr>
          <w:rFonts w:ascii="Times New Roman;Times;serif" w:hAnsi="Times New Roman;Times;serif"/>
          <w:b w:val="false"/>
          <w:i/>
          <w:color w:val="000000"/>
          <w:sz w:val="24"/>
        </w:rPr>
        <w:t>. All agreements between Borrower and Lender are hereby expressly limited so that in no contingency or event whatsoever shall the amount paid or agreed to be paid to Lender for the use, forbearance, loaning or detention of the indebtedness evidenced</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b w:val="false"/>
          <w:i/>
          <w:color w:val="000000"/>
          <w:sz w:val="24"/>
        </w:rPr>
      </w:pPr>
      <w:r>
        <w:rPr>
          <w:rFonts w:ascii="Times New Roman;Times;serif" w:hAnsi="Times New Roman;Times;serif"/>
          <w:b w:val="false"/>
          <w:i/>
          <w:color w:val="000000"/>
          <w:sz w:val="24"/>
        </w:rPr>
        <w:t>hereby exceed the maximum permissible under applicable law. If from any circumstances whatsoever, fulfillment of any provisions of this Promissory Note at any time given shall exceed the maximum permissible under applicable law, then, the obligation to be fulfilled shall automatically be reduced to an amount which complies with applicable law, and if from any circumstances Lender should ever receive as interest an amount which would exceed the highest lawful rate of interest, such amount which would be in excess of such lawful rate of interest shall be applied to the reduction of the principal balance evidenced hereby and not to the payment of interest. This provision shall control every other provision of all agreements between Borrower and Lender and shall also be binding upon and available to any subsequent holder of this Promissory Note. All sums paid or agreed to be paid to Lender for the use, forbearance, or detention of the indebtedness evidenced hereby, shall, to the extent permitted by applicable law, be amortized, prorated, allocated, and spread throughout the full stated term of this Promissory Note until payment in full so that the rate or amount of interest on account of the indebtedness evidenced hereby does not exceed the maximum lawful rate of interest from time to time in effect and applicable to the indebtedness evidenced hereby for so long as such indebtedness is outstanding.</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11.</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Waivers</w:t>
      </w:r>
      <w:r>
        <w:rPr>
          <w:rFonts w:ascii="Times New Roman;Times;serif" w:hAnsi="Times New Roman;Times;serif"/>
          <w:b w:val="false"/>
          <w:i/>
          <w:color w:val="000000"/>
          <w:sz w:val="24"/>
        </w:rPr>
        <w:t>.</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val="false"/>
          <w:i/>
          <w:color w:val="000000"/>
          <w:sz w:val="24"/>
        </w:rPr>
        <w:t>a.</w:t>
      </w:r>
      <w:r>
        <w:rPr>
          <w:rFonts w:ascii="Times New Roman;Times;serif" w:hAnsi="Times New Roman;Times;serif"/>
          <w:b w:val="false"/>
          <w:i/>
          <w:color w:val="000000"/>
          <w:sz w:val="20"/>
        </w:rPr>
        <w:t> </w:t>
      </w:r>
      <w:r>
        <w:rPr>
          <w:rFonts w:ascii="Times New Roman;Times;serif" w:hAnsi="Times New Roman;Times;serif"/>
          <w:b w:val="false"/>
          <w:i/>
          <w:color w:val="000000"/>
          <w:sz w:val="24"/>
        </w:rPr>
        <w:t>Borrower and all persons or entities liable for all or part of the principal balance evidenced by this Promissory Note severally hereby waive presentment for payment, protest, notice of non-payment and notice of dishonor.</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val="false"/>
          <w:i/>
          <w:color w:val="000000"/>
          <w:sz w:val="24"/>
        </w:rPr>
        <w:t>b.</w:t>
      </w:r>
      <w:r>
        <w:rPr>
          <w:rFonts w:ascii="Times New Roman;Times;serif" w:hAnsi="Times New Roman;Times;serif"/>
          <w:b w:val="false"/>
          <w:i/>
          <w:color w:val="000000"/>
          <w:sz w:val="20"/>
        </w:rPr>
        <w:t> </w:t>
      </w:r>
      <w:r>
        <w:rPr>
          <w:rFonts w:ascii="Times New Roman;Times;serif" w:hAnsi="Times New Roman;Times;serif"/>
          <w:b w:val="false"/>
          <w:i/>
          <w:color w:val="000000"/>
          <w:sz w:val="24"/>
        </w:rPr>
        <w:t>Borrower and all persons and entities liable for all or part of the principal balance evidenced by this Promissory Note hereby consent, without affecting their liability, to the granting, with or without notice, of any extension or alteration of time for payment of any sum or sums due hereunder or for the performance of any covenant, condition or agreement contained herein or therein, or the taking or releasing or subordinating of any security for the indebtedness evidenced hereby, or the acceptance of additional security of any kind, or any other modification or amendment of this Promissory Note, any release of, or resort to any party liable for payment hereof, and agree that such action will in no way release or discharge the liability of such parties, whether or not granted or done with the knowledge or consent of such parties.</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val="false"/>
          <w:i/>
          <w:color w:val="000000"/>
          <w:sz w:val="24"/>
        </w:rPr>
        <w:t>c.</w:t>
      </w:r>
      <w:r>
        <w:rPr>
          <w:rFonts w:ascii="Times New Roman;Times;serif" w:hAnsi="Times New Roman;Times;serif"/>
          <w:b w:val="false"/>
          <w:i/>
          <w:color w:val="000000"/>
          <w:sz w:val="20"/>
        </w:rPr>
        <w:t> </w:t>
      </w:r>
      <w:r>
        <w:rPr>
          <w:rFonts w:ascii="Times New Roman;Times;serif" w:hAnsi="Times New Roman;Times;serif"/>
          <w:b w:val="false"/>
          <w:i/>
          <w:color w:val="000000"/>
          <w:sz w:val="24"/>
        </w:rPr>
        <w:t>Borrower and all persons and entities liable for all or a part of the principal balance evidenced by this Promissory Note hereby waive and renounce, to the extent permitted by applicable law, all rights to the benefits of any statute of limitations and any moratorium, reinstatement, marshalling, forbearance, valuation, stay, extension, redemption and appraisement now provided, or which may hereafter be provided, by the Constitution or laws of the United States of America or the state or commonwealth in which the Borrower is located against the enforcement and collection of the obligations evidenced by this Promissory Note.</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12.</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Borrower Not Released</w:t>
      </w:r>
      <w:r>
        <w:rPr>
          <w:rFonts w:ascii="Times New Roman;Times;serif" w:hAnsi="Times New Roman;Times;serif"/>
          <w:b w:val="false"/>
          <w:i/>
          <w:color w:val="000000"/>
          <w:sz w:val="24"/>
        </w:rPr>
        <w:t>.  No delay or omission of Lender to exercise any of its rights and remedies under this Promissory Note at any time following the happening of Default shall constitute a waiver of the right of Lender to exercise such rights and remedies at a later time by reason of Default or by reason of any subsequently occurring Default. The acceptance by Lender of payment of any sum payable hereunder after the due date of such payment shall not be a waiver of Lender’s right to either require prompt payment when due of all other sums payable hereunder or to declare a default for failure to make prompt payment.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13.</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Disbursement</w:t>
      </w:r>
      <w:r>
        <w:rPr>
          <w:rFonts w:ascii="Times New Roman;Times;serif" w:hAnsi="Times New Roman;Times;serif"/>
          <w:b w:val="false"/>
          <w:i/>
          <w:color w:val="000000"/>
          <w:sz w:val="24"/>
        </w:rPr>
        <w:t>.  Funds representing the proceeds of the indebtedness evidenced hereby shall not be disbursed to Borrower, but shall be used by Borrower to purchase Forty-Four Million Nine Hundred Forty-Six Thousand Nine Hundred and Seventy-Two (44,946,972) shares of Liquid Metal Technologies, Inc. (“LQMT”) from Lender.</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14.</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Note Controls</w:t>
      </w:r>
      <w:r>
        <w:rPr>
          <w:rFonts w:ascii="Times New Roman;Times;serif" w:hAnsi="Times New Roman;Times;serif"/>
          <w:b w:val="false"/>
          <w:i/>
          <w:color w:val="000000"/>
          <w:sz w:val="24"/>
        </w:rPr>
        <w:t>.  In the event of any inconsistency between the provisions of this Promissory Note and those of Stock Purchase Agreement, the provisions of this Promissory Note shall control over those of Stock Purchase Agreement.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15.</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Notices</w:t>
      </w:r>
      <w:r>
        <w:rPr>
          <w:rFonts w:ascii="Times New Roman;Times;serif" w:hAnsi="Times New Roman;Times;serif"/>
          <w:b w:val="false"/>
          <w:i/>
          <w:color w:val="000000"/>
          <w:sz w:val="24"/>
        </w:rPr>
        <w:t>.  All notices required or permitted to be given hereunder to Borrower or Lender shall be given in the manner and to the place as provided by the parties from time to time in writing.</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16.</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Severability</w:t>
      </w:r>
      <w:r>
        <w:rPr>
          <w:rFonts w:ascii="Times New Roman;Times;serif" w:hAnsi="Times New Roman;Times;serif"/>
          <w:b w:val="false"/>
          <w:i/>
          <w:color w:val="000000"/>
          <w:sz w:val="24"/>
        </w:rPr>
        <w:t>.   The parties hereto intend that each provision of this Promissory Note comports with all applicable local, state and federal laws and judicial decisions. However, if any provision or any portion of any provision contained in this Promissory Note is held by a court of law to be invalid, illegal, unlawful, void or unenforceable as written in any respect, then it is the intent of all parties hereto that such portion or provision shall be given force to the fullest possible extent that it is legal, valid and enforceable, that the remainder of this Promissory Note shall be construed as if such illegal, invalid, unlawful, void or unenforceable portion or provision was not contained therein, and the rights, obligations and interests of Borrower and Lender under the remainder of this Promissory Note shall continue in full force and effect.</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17.</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Successors and Assigns</w:t>
      </w:r>
      <w:r>
        <w:rPr>
          <w:rFonts w:ascii="Times New Roman;Times;serif" w:hAnsi="Times New Roman;Times;serif"/>
          <w:b w:val="false"/>
          <w:i/>
          <w:color w:val="000000"/>
          <w:sz w:val="24"/>
        </w:rPr>
        <w:t>.  The provisions of this Promissory Note shall be binding upon Borrower and its successors and assigns and shall inure to the benefit of any Lender and its successors and assigns. As used herein the words “</w:t>
      </w:r>
      <w:r>
        <w:rPr>
          <w:rFonts w:ascii="Times New Roman;Times;serif" w:hAnsi="Times New Roman;Times;serif"/>
          <w:b/>
          <w:i/>
          <w:color w:val="000000"/>
          <w:sz w:val="24"/>
          <w:u w:val="single"/>
        </w:rPr>
        <w:t>successors and assigns</w:t>
      </w:r>
      <w:r>
        <w:rPr>
          <w:rFonts w:ascii="Times New Roman;Times;serif" w:hAnsi="Times New Roman;Times;serif"/>
          <w:b w:val="false"/>
          <w:i/>
          <w:color w:val="000000"/>
          <w:sz w:val="24"/>
        </w:rPr>
        <w:t>” shall also be deemed to include the heirs, representatives, administrators and executors of any natural person who is a party to this Promissory Note.</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18.</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Remedies Cumulative</w:t>
      </w:r>
      <w:r>
        <w:rPr>
          <w:rFonts w:ascii="Times New Roman;Times;serif" w:hAnsi="Times New Roman;Times;serif"/>
          <w:b w:val="false"/>
          <w:i/>
          <w:color w:val="000000"/>
          <w:sz w:val="24"/>
        </w:rPr>
        <w:t>.   The remedies of Lender as provided in this Promissory Note shall be cumulative and concurrent, may be pursued singly, successively or together at the sole discretion of Lender, may be exercised as often as occasion for their exercise shall occur and in no event shall the failure to exercise any such right or remedy be construed as a waiver or release of such right or remedy. No remedy under this Promissory Note conferred upon or reserved to Lender is intended to be exclusive of any other remedy provided in this Promissory Note or provided by law, but each shall be cumulative and shall be in addition to every other remedy given under this Promissory Note or now or hereafter existing at law or in equity or by statute.</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19.</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No Oral Modification</w:t>
      </w:r>
      <w:r>
        <w:rPr>
          <w:rFonts w:ascii="Times New Roman;Times;serif" w:hAnsi="Times New Roman;Times;serif"/>
          <w:b w:val="false"/>
          <w:i/>
          <w:color w:val="000000"/>
          <w:sz w:val="24"/>
        </w:rPr>
        <w:t>.  This Promissory Note may not be modified or discharged orally, but only by an agreement in writing signed by Lender and Borrower.</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20.</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Transfer of Promissory Note</w:t>
      </w:r>
      <w:r>
        <w:rPr>
          <w:rFonts w:ascii="Times New Roman;Times;serif" w:hAnsi="Times New Roman;Times;serif"/>
          <w:b w:val="false"/>
          <w:i/>
          <w:color w:val="000000"/>
          <w:sz w:val="24"/>
        </w:rPr>
        <w:t>.  Lender may, at any time, sell, transfer or assign this Promissory Note.</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21.</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Joint and Several Liability</w:t>
      </w:r>
      <w:r>
        <w:rPr>
          <w:rFonts w:ascii="Times New Roman;Times;serif" w:hAnsi="Times New Roman;Times;serif"/>
          <w:b w:val="false"/>
          <w:i/>
          <w:color w:val="000000"/>
          <w:sz w:val="24"/>
        </w:rPr>
        <w:t>.   In the event that this Promissory Note is made by more than one Borrower, the promises and agreements herein shall be construed to be and are hereby declared to be the joint and several promises and agreements of all Borrowers and shall constitute the joint and several obligations of each of Borrowers and shall be fully binding upon and enforceable against each of Borrowers. Neither the death nor release of any person or party to this Promissory Note shall affect or release the joint and several liability of any other person or party. Lender may at its option enforce this Promissory Note against one or all of Borrowers, and Lender shall not be required to resort to enforcement against each of Borrowers and the failure to proceed against or join any Borrower shall not affect the joint and several liability of any other Borrower.</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22.</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WAIVER OF JURY TRIAL</w:t>
      </w:r>
      <w:r>
        <w:rPr>
          <w:rFonts w:ascii="Times New Roman;Times;serif" w:hAnsi="Times New Roman;Times;serif"/>
          <w:b w:val="false"/>
          <w:i/>
          <w:color w:val="000000"/>
          <w:sz w:val="24"/>
        </w:rPr>
        <w:t>.   LENDER BY ITS ACCEPTANCE HEREOF AND BORROWER HEREBY VOLUNTARILY, KNOWINGLY AND INTENTIONALLY WAIVE ANY AND ALL RIGHTS TO TRIAL BY JURY IN ANY LEGAL ACTION OR PROCEEDING ARISING UNDER THIS PROMISSORY NOTE, REGARDLESS OF WHETHER SUCH ACTION OR PROCEEDING CONCERNS ANY CONTRACTUAL OR TORTIOUS OR OTHER CLAIM. BORROWER ACKNOWLEDGES THAT THIS WAIVER OF JURY TRIAL IS A MATERIAL INDUCEMENT TO LENDER IN EXTENDING CREDIT TO BORROWER, THAT LENDER WOULD NOT HAVE EXTENDED SUCH CREDIT WITHOUT THIS JURY TRIAL WAIVER, AND THAT BORROWER HAS BEEN REPRESENTED BY AN ATTORNEY OR HAS HAD AN OPPORTUNITY TO CONSULT WITH AN ATTORNEY IN CONNECTION WITH THIS JURY TRIAL WAIVER AND UNDERSTANDS THE LEGAL EFFECT OF THIS WAIVER.</w:t>
      </w:r>
    </w:p>
    <w:p>
      <w:pPr>
        <w:pStyle w:val="TextBody"/>
        <w:bidi w:val="0"/>
        <w:spacing w:before="240" w:after="283"/>
        <w:ind w:left="0" w:right="0" w:hanging="0"/>
        <w:jc w:val="left"/>
        <w:rPr>
          <w:rFonts w:ascii="Times New Roman;Times;serif" w:hAnsi="Times New Roman;Times;serif"/>
          <w:b w:val="false"/>
          <w:i/>
          <w:color w:val="000000"/>
          <w:sz w:val="20"/>
        </w:rPr>
      </w:pPr>
      <w:r>
        <w:rPr>
          <w:rFonts w:ascii="Times New Roman;Times;serif" w:hAnsi="Times New Roman;Times;serif"/>
          <w:b/>
          <w:i/>
          <w:color w:val="000000"/>
          <w:sz w:val="24"/>
        </w:rPr>
        <w:t>23.</w:t>
      </w:r>
      <w:r>
        <w:rPr>
          <w:rFonts w:ascii="Times New Roman;Times;serif" w:hAnsi="Times New Roman;Times;serif"/>
          <w:b w:val="false"/>
          <w:i/>
          <w:color w:val="000000"/>
          <w:sz w:val="20"/>
        </w:rPr>
        <w:t> </w:t>
      </w:r>
      <w:r>
        <w:rPr>
          <w:rFonts w:ascii="Times New Roman;Times;serif" w:hAnsi="Times New Roman;Times;serif"/>
          <w:b/>
          <w:i/>
          <w:color w:val="000000"/>
          <w:sz w:val="24"/>
          <w:u w:val="single"/>
        </w:rPr>
        <w:t>Headings</w:t>
      </w:r>
      <w:r>
        <w:rPr>
          <w:rFonts w:ascii="Times New Roman;Times;serif" w:hAnsi="Times New Roman;Times;serif"/>
          <w:b w:val="false"/>
          <w:i/>
          <w:color w:val="000000"/>
          <w:sz w:val="24"/>
        </w:rPr>
        <w:t>.   The headings or captions contained in this Promissory Note are solely for convenience of reference and shall not affect its interpretation.</w:t>
      </w:r>
    </w:p>
    <w:p>
      <w:pPr>
        <w:pStyle w:val="TextBody"/>
        <w:bidi w:val="0"/>
        <w:spacing w:before="240" w:after="0"/>
        <w:jc w:val="left"/>
        <w:rPr/>
      </w:pPr>
      <w:r>
        <w:rPr/>
      </w:r>
    </w:p>
    <w:p>
      <w:pPr>
        <w:pStyle w:val="TextBody"/>
        <w:bidi w:val="0"/>
        <w:spacing w:before="240" w:after="283"/>
        <w:jc w:val="left"/>
        <w:rPr/>
      </w:pPr>
      <w:r>
        <w:rPr/>
      </w:r>
    </w:p>
    <w:p>
      <w:pPr>
        <w:pStyle w:val="TextBody"/>
        <w:bidi w:val="0"/>
        <w:spacing w:before="240" w:after="0"/>
        <w:jc w:val="left"/>
        <w:rPr/>
      </w:pPr>
      <w:r>
        <w:rPr/>
      </w:r>
    </w:p>
    <w:p>
      <w:pPr>
        <w:pStyle w:val="TextBody"/>
        <w:bidi w:val="0"/>
        <w:spacing w:before="240" w:after="283"/>
        <w:jc w:val="center"/>
        <w:rPr>
          <w:rFonts w:ascii="Times New Roman;Times;serif" w:hAnsi="Times New Roman;Times;serif"/>
          <w:b w:val="false"/>
          <w:i/>
          <w:color w:val="000000"/>
          <w:sz w:val="24"/>
        </w:rPr>
      </w:pPr>
      <w:r>
        <w:rPr>
          <w:rFonts w:ascii="Times New Roman;Times;serif" w:hAnsi="Times New Roman;Times;serif"/>
          <w:b w:val="false"/>
          <w:i/>
          <w:color w:val="000000"/>
          <w:sz w:val="24"/>
        </w:rPr>
        <w:t>[The remainder of this page is intentionally left blank.]</w:t>
      </w:r>
    </w:p>
    <w:p>
      <w:pPr>
        <w:pStyle w:val="TextBody"/>
        <w:bidi w:val="0"/>
        <w:spacing w:before="24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160"/>
        <w:jc w:val="left"/>
        <w:rPr/>
      </w:pPr>
      <w:r>
        <w:rPr/>
      </w:r>
    </w:p>
    <w:p>
      <w:pPr>
        <w:pStyle w:val="TextBody"/>
        <w:bidi w:val="0"/>
        <w:spacing w:before="240" w:after="0"/>
        <w:ind w:left="0" w:right="0" w:firstLine="857"/>
        <w:jc w:val="left"/>
        <w:rPr>
          <w:rFonts w:ascii="Times New Roman;Times;serif" w:hAnsi="Times New Roman;Times;serif"/>
          <w:b w:val="false"/>
          <w:i/>
          <w:color w:val="000000"/>
          <w:sz w:val="24"/>
        </w:rPr>
      </w:pPr>
      <w:r>
        <w:rPr>
          <w:rFonts w:ascii="Times New Roman;Times;serif" w:hAnsi="Times New Roman;Times;serif"/>
          <w:b/>
          <w:i/>
          <w:color w:val="000000"/>
          <w:sz w:val="24"/>
        </w:rPr>
        <w:t>IN WITNESS WHEREOF</w:t>
      </w:r>
      <w:r>
        <w:rPr>
          <w:rFonts w:ascii="Times New Roman;Times;serif" w:hAnsi="Times New Roman;Times;serif"/>
          <w:b w:val="false"/>
          <w:i/>
          <w:color w:val="000000"/>
          <w:sz w:val="24"/>
        </w:rPr>
        <w:t>, Borrower has executed this Promissory Note as of the date and year first above written.</w:t>
      </w:r>
    </w:p>
    <w:p>
      <w:pPr>
        <w:pStyle w:val="TextBody"/>
        <w:bidi w:val="0"/>
        <w:spacing w:before="240" w:after="0"/>
        <w:ind w:left="0" w:right="0" w:firstLine="857"/>
        <w:jc w:val="left"/>
        <w:rPr>
          <w:sz w:val="24"/>
        </w:rPr>
      </w:pPr>
      <w:r>
        <w:rPr>
          <w:sz w:val="24"/>
        </w:rPr>
      </w:r>
    </w:p>
    <w:p>
      <w:pPr>
        <w:pStyle w:val="TextBody"/>
        <w:bidi w:val="0"/>
        <w:spacing w:before="240" w:after="0"/>
        <w:ind w:left="0" w:right="0" w:firstLine="857"/>
        <w:jc w:val="left"/>
        <w:rPr/>
      </w:pPr>
      <w:r>
        <w:rPr/>
      </w:r>
    </w:p>
    <w:tbl>
      <w:tblPr>
        <w:tblW w:w="3650" w:type="dxa"/>
        <w:jc w:val="left"/>
        <w:tblInd w:w="0" w:type="dxa"/>
        <w:tblLayout w:type="fixed"/>
        <w:tblCellMar>
          <w:top w:w="0" w:type="dxa"/>
          <w:left w:w="0" w:type="dxa"/>
          <w:bottom w:w="0" w:type="dxa"/>
          <w:right w:w="0" w:type="dxa"/>
        </w:tblCellMar>
      </w:tblPr>
      <w:tblGrid>
        <w:gridCol w:w="60"/>
        <w:gridCol w:w="3590"/>
      </w:tblGrid>
      <w:tr>
        <w:trPr/>
        <w:tc>
          <w:tcPr>
            <w:tcW w:w="60" w:type="dxa"/>
            <w:tcBorders/>
            <w:vAlign w:val="center"/>
          </w:tcPr>
          <w:p>
            <w:pPr>
              <w:pStyle w:val="TableContents"/>
              <w:bidi w:val="0"/>
              <w:spacing w:before="0" w:after="0"/>
              <w:jc w:val="left"/>
              <w:rPr/>
            </w:pPr>
            <w:r>
              <w:rPr/>
              <w:t> </w:t>
            </w:r>
          </w:p>
        </w:tc>
        <w:tc>
          <w:tcPr>
            <w:tcW w:w="3590" w:type="dxa"/>
            <w:tcBorders/>
            <w:vAlign w:val="center"/>
          </w:tcPr>
          <w:p>
            <w:pPr>
              <w:pStyle w:val="TableContents"/>
              <w:bidi w:val="0"/>
              <w:spacing w:before="0" w:after="0"/>
              <w:jc w:val="left"/>
              <w:rPr/>
            </w:pPr>
            <w:r>
              <w:rPr/>
              <w:t> </w:t>
            </w:r>
            <w:r>
              <w:rPr>
                <w:b/>
                <w:i/>
                <w:sz w:val="24"/>
              </w:rPr>
              <w:t>LUTOS CAPITAL, LLC.</w:t>
            </w:r>
          </w:p>
        </w:tc>
      </w:tr>
      <w:tr>
        <w:trPr/>
        <w:tc>
          <w:tcPr>
            <w:tcW w:w="60" w:type="dxa"/>
            <w:tcBorders/>
            <w:vAlign w:val="center"/>
          </w:tcPr>
          <w:p>
            <w:pPr>
              <w:pStyle w:val="TableContents"/>
              <w:bidi w:val="0"/>
              <w:spacing w:before="0" w:after="0"/>
              <w:jc w:val="left"/>
              <w:rPr/>
            </w:pPr>
            <w:r>
              <w:rPr/>
              <w:t> </w:t>
            </w:r>
          </w:p>
        </w:tc>
        <w:tc>
          <w:tcPr>
            <w:tcW w:w="3590" w:type="dxa"/>
            <w:tcBorders/>
            <w:vAlign w:val="center"/>
          </w:tcPr>
          <w:p>
            <w:pPr>
              <w:pStyle w:val="TableContents"/>
              <w:bidi w:val="0"/>
              <w:spacing w:before="0" w:after="0"/>
              <w:jc w:val="left"/>
              <w:rPr/>
            </w:pPr>
            <w:r>
              <w:rPr/>
              <w:t> </w:t>
            </w:r>
            <w:r>
              <w:rPr>
                <w:i/>
                <w:sz w:val="24"/>
              </w:rPr>
              <w:t>a Florida Limited Liability Company</w:t>
            </w:r>
          </w:p>
          <w:p>
            <w:pPr>
              <w:pStyle w:val="TableContents"/>
              <w:bidi w:val="0"/>
              <w:spacing w:before="0" w:after="0"/>
              <w:jc w:val="left"/>
              <w:rPr/>
            </w:pPr>
            <w:r>
              <w:rPr/>
            </w:r>
          </w:p>
          <w:p>
            <w:pPr>
              <w:pStyle w:val="TableContents"/>
              <w:bidi w:val="0"/>
              <w:spacing w:before="0" w:after="0"/>
              <w:jc w:val="left"/>
              <w:rPr/>
            </w:pPr>
            <w:r>
              <w:rPr/>
            </w:r>
          </w:p>
        </w:tc>
      </w:tr>
      <w:tr>
        <w:trPr/>
        <w:tc>
          <w:tcPr>
            <w:tcW w:w="60" w:type="dxa"/>
            <w:tcBorders/>
            <w:vAlign w:val="center"/>
          </w:tcPr>
          <w:p>
            <w:pPr>
              <w:pStyle w:val="TableContents"/>
              <w:bidi w:val="0"/>
              <w:spacing w:before="0" w:after="0"/>
              <w:jc w:val="left"/>
              <w:rPr/>
            </w:pPr>
            <w:r>
              <w:rPr/>
              <w:t> </w:t>
            </w:r>
          </w:p>
        </w:tc>
        <w:tc>
          <w:tcPr>
            <w:tcW w:w="3590" w:type="dxa"/>
            <w:tcBorders/>
            <w:vAlign w:val="center"/>
          </w:tcPr>
          <w:p>
            <w:pPr>
              <w:pStyle w:val="TableContents"/>
              <w:bidi w:val="0"/>
              <w:spacing w:before="0" w:after="0"/>
              <w:jc w:val="left"/>
              <w:rPr/>
            </w:pPr>
            <w:r>
              <w:rPr/>
              <w:t> </w:t>
            </w:r>
            <w:r>
              <w:rPr>
                <w:i/>
                <w:sz w:val="24"/>
              </w:rPr>
              <w:t>By:</w:t>
            </w:r>
            <w:r>
              <w:rPr/>
              <w:t xml:space="preserve"> </w:t>
            </w:r>
            <w:r>
              <w:rPr>
                <w:sz w:val="24"/>
              </w:rPr>
              <w:t>________________________</w:t>
            </w:r>
          </w:p>
        </w:tc>
      </w:tr>
      <w:tr>
        <w:trPr/>
        <w:tc>
          <w:tcPr>
            <w:tcW w:w="60" w:type="dxa"/>
            <w:tcBorders/>
            <w:vAlign w:val="center"/>
          </w:tcPr>
          <w:p>
            <w:pPr>
              <w:pStyle w:val="TableContents"/>
              <w:bidi w:val="0"/>
              <w:spacing w:before="0" w:after="0"/>
              <w:jc w:val="left"/>
              <w:rPr/>
            </w:pPr>
            <w:r>
              <w:rPr/>
              <w:t> </w:t>
            </w:r>
          </w:p>
        </w:tc>
        <w:tc>
          <w:tcPr>
            <w:tcW w:w="3590" w:type="dxa"/>
            <w:tcBorders/>
            <w:vAlign w:val="center"/>
          </w:tcPr>
          <w:p>
            <w:pPr>
              <w:pStyle w:val="TableContents"/>
              <w:bidi w:val="0"/>
              <w:spacing w:before="0" w:after="0"/>
              <w:jc w:val="left"/>
              <w:rPr/>
            </w:pPr>
            <w:r>
              <w:rPr/>
              <w:t> </w:t>
            </w:r>
            <w:r>
              <w:rPr>
                <w:i/>
                <w:sz w:val="24"/>
              </w:rPr>
              <w:t>ANTHONY PONG, Manager</w:t>
            </w:r>
          </w:p>
        </w:tc>
      </w:tr>
    </w:tbl>
    <w:p>
      <w:pPr>
        <w:pStyle w:val="TextBody"/>
        <w:bidi w:val="0"/>
        <w:spacing w:before="240" w:after="0"/>
        <w:ind w:left="0" w:right="0" w:firstLine="857"/>
        <w:jc w:val="left"/>
        <w:rPr>
          <w:sz w:val="24"/>
        </w:rPr>
      </w:pPr>
      <w:r>
        <w:rPr>
          <w:sz w:val="24"/>
        </w:rPr>
      </w:r>
    </w:p>
    <w:p>
      <w:pPr>
        <w:pStyle w:val="TextBody"/>
        <w:bidi w:val="0"/>
        <w:spacing w:before="240" w:after="0"/>
        <w:jc w:val="left"/>
        <w:rPr/>
      </w:pPr>
      <w:r>
        <w:rPr/>
      </w:r>
    </w:p>
    <w:p>
      <w:pPr>
        <w:pStyle w:val="TextBody"/>
        <w:bidi w:val="0"/>
        <w:spacing w:before="240" w:after="0"/>
        <w:jc w:val="left"/>
        <w:rPr>
          <w:color w:val="000000"/>
        </w:rPr>
      </w:pPr>
      <w:r>
        <w:rPr>
          <w:color w:val="000000"/>
        </w:rPr>
        <w:t> </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ind w:left="0" w:right="0" w:hanging="0"/>
        <w:jc w:val="left"/>
        <w:rPr>
          <w:color w:val="000000"/>
        </w:rPr>
      </w:pPr>
      <w:r>
        <w:rPr>
          <w:color w:val="000000"/>
        </w:rPr>
        <w:t> </w:t>
      </w:r>
    </w:p>
    <w:p>
      <w:pPr>
        <w:pStyle w:val="TextBody"/>
        <w:bidi w:val="0"/>
        <w:spacing w:before="240" w:after="283"/>
        <w:ind w:left="0" w:right="0" w:firstLine="720"/>
        <w:jc w:val="right"/>
        <w:rPr>
          <w:rFonts w:ascii="Times New Roman;Times;serif" w:hAnsi="Times New Roman;Times;serif"/>
          <w:b/>
          <w:i/>
          <w:color w:val="000000"/>
          <w:sz w:val="20"/>
        </w:rPr>
      </w:pPr>
      <w:bookmarkStart w:id="16" w:name="exhibit4-2.htm"/>
      <w:bookmarkStart w:id="17" w:name="ksexhibit42"/>
      <w:bookmarkEnd w:id="16"/>
      <w:bookmarkEnd w:id="17"/>
      <w:r>
        <w:rPr>
          <w:rFonts w:ascii="Times New Roman;Times;serif" w:hAnsi="Times New Roman;Times;serif"/>
          <w:b/>
          <w:i/>
          <w:color w:val="000000"/>
          <w:sz w:val="20"/>
        </w:rPr>
        <w:t>Exhibit 4.2</w:t>
      </w:r>
      <w:r>
        <w:br w:type="page"/>
      </w:r>
    </w:p>
    <w:p>
      <w:pPr>
        <w:pStyle w:val="TextBody"/>
        <w:bidi w:val="0"/>
        <w:spacing w:before="240" w:after="283"/>
        <w:jc w:val="left"/>
        <w:rPr/>
      </w:pPr>
      <w:r>
        <w:rPr/>
      </w:r>
    </w:p>
    <w:p>
      <w:pPr>
        <w:pStyle w:val="TextBody"/>
        <w:bidi w:val="0"/>
        <w:spacing w:before="120" w:after="283"/>
        <w:ind w:left="0" w:right="0" w:firstLine="720"/>
        <w:jc w:val="center"/>
        <w:rPr>
          <w:rFonts w:ascii="Times New Roman;Times;serif" w:hAnsi="Times New Roman;Times;serif"/>
          <w:b/>
          <w:color w:val="000000"/>
          <w:sz w:val="24"/>
        </w:rPr>
      </w:pPr>
      <w:r>
        <w:rPr>
          <w:rFonts w:ascii="Times New Roman;Times;serif" w:hAnsi="Times New Roman;Times;serif"/>
          <w:b/>
          <w:color w:val="000000"/>
          <w:sz w:val="24"/>
        </w:rPr>
        <w:t>STOCK PURCHASE AGREEMENT</w:t>
      </w:r>
    </w:p>
    <w:p>
      <w:pPr>
        <w:pStyle w:val="TextBody"/>
        <w:bidi w:val="0"/>
        <w:spacing w:before="240" w:after="283"/>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THIS STOCK PURCHASE AGREEMENT (this “</w:t>
      </w:r>
      <w:r>
        <w:rPr>
          <w:rFonts w:ascii="Times New Roman;Times;serif" w:hAnsi="Times New Roman;Times;serif"/>
          <w:color w:val="000000"/>
          <w:sz w:val="24"/>
          <w:u w:val="single"/>
        </w:rPr>
        <w:t>Agreement</w:t>
      </w:r>
      <w:r>
        <w:rPr>
          <w:rFonts w:ascii="Times New Roman;Times;serif" w:hAnsi="Times New Roman;Times;serif"/>
          <w:color w:val="000000"/>
          <w:sz w:val="24"/>
        </w:rPr>
        <w:t xml:space="preserve">”) is made and entered into as of </w:t>
      </w:r>
      <w:r>
        <w:rPr>
          <w:rFonts w:ascii="Times New Roman;Times;serif" w:hAnsi="Times New Roman;Times;serif"/>
          <w:b/>
          <w:color w:val="000000"/>
          <w:sz w:val="24"/>
        </w:rPr>
        <w:t>October 10, 2024</w:t>
      </w:r>
      <w:r>
        <w:rPr>
          <w:rFonts w:ascii="Times New Roman;Times;serif" w:hAnsi="Times New Roman;Times;serif"/>
          <w:color w:val="000000"/>
          <w:sz w:val="24"/>
        </w:rPr>
        <w:t xml:space="preserve">, by and between </w:t>
      </w:r>
      <w:r>
        <w:rPr>
          <w:rFonts w:ascii="Times New Roman;Times;serif" w:hAnsi="Times New Roman;Times;serif"/>
          <w:b/>
          <w:color w:val="000000"/>
          <w:sz w:val="24"/>
        </w:rPr>
        <w:t>MATANA VENTURES, LLC</w:t>
      </w:r>
      <w:r>
        <w:rPr>
          <w:rFonts w:ascii="Times New Roman;Times;serif" w:hAnsi="Times New Roman;Times;serif"/>
          <w:color w:val="000000"/>
          <w:sz w:val="24"/>
        </w:rPr>
        <w:t>.</w:t>
      </w:r>
      <w:r>
        <w:rPr>
          <w:rFonts w:ascii="Times New Roman;Times;serif" w:hAnsi="Times New Roman;Times;serif"/>
          <w:color w:val="000000"/>
          <w:sz w:val="24"/>
          <w:u w:val="single"/>
        </w:rPr>
        <w:t>,</w:t>
      </w:r>
      <w:r>
        <w:rPr>
          <w:rFonts w:ascii="Times New Roman;Times;serif" w:hAnsi="Times New Roman;Times;serif"/>
          <w:color w:val="000000"/>
          <w:sz w:val="24"/>
        </w:rPr>
        <w:t xml:space="preserve"> a Florida limited liability company (the "</w:t>
      </w:r>
      <w:r>
        <w:rPr>
          <w:rFonts w:ascii="Times New Roman;Times;serif" w:hAnsi="Times New Roman;Times;serif"/>
          <w:color w:val="000000"/>
          <w:sz w:val="24"/>
          <w:u w:val="single"/>
        </w:rPr>
        <w:t>Buyer</w:t>
      </w:r>
      <w:r>
        <w:rPr>
          <w:rFonts w:ascii="Times New Roman;Times;serif" w:hAnsi="Times New Roman;Times;serif"/>
          <w:color w:val="000000"/>
          <w:sz w:val="24"/>
        </w:rPr>
        <w:t>"), and LIQUIDMETAL TECHNOLOGY LIMITED, a Hong Kong company (the “</w:t>
      </w:r>
      <w:r>
        <w:rPr>
          <w:rFonts w:ascii="Times New Roman;Times;serif" w:hAnsi="Times New Roman;Times;serif"/>
          <w:color w:val="000000"/>
          <w:sz w:val="24"/>
          <w:u w:val="single"/>
        </w:rPr>
        <w:t>Seller</w:t>
      </w:r>
      <w:r>
        <w:rPr>
          <w:rFonts w:ascii="Times New Roman;Times;serif" w:hAnsi="Times New Roman;Times;serif"/>
          <w:color w:val="000000"/>
          <w:sz w:val="24"/>
        </w:rPr>
        <w:t>”).</w:t>
      </w:r>
    </w:p>
    <w:p>
      <w:pPr>
        <w:pStyle w:val="TextBody"/>
        <w:bidi w:val="0"/>
        <w:spacing w:before="0" w:after="0"/>
        <w:jc w:val="left"/>
        <w:rPr/>
      </w:pPr>
      <w:r>
        <w:rPr/>
      </w:r>
    </w:p>
    <w:p>
      <w:pPr>
        <w:pStyle w:val="TextBody"/>
        <w:bidi w:val="0"/>
        <w:spacing w:before="0" w:after="0"/>
        <w:ind w:left="0" w:right="0" w:firstLine="720"/>
        <w:jc w:val="center"/>
        <w:rPr>
          <w:rFonts w:ascii="Times New Roman;Times;serif" w:hAnsi="Times New Roman;Times;serif"/>
          <w:color w:val="000000"/>
          <w:sz w:val="24"/>
          <w:u w:val="single"/>
        </w:rPr>
      </w:pPr>
      <w:r>
        <w:rPr>
          <w:rFonts w:ascii="Times New Roman;Times;serif" w:hAnsi="Times New Roman;Times;serif"/>
          <w:color w:val="000000"/>
          <w:sz w:val="24"/>
          <w:u w:val="single"/>
        </w:rPr>
        <w:t>RECITALS:</w:t>
      </w:r>
    </w:p>
    <w:p>
      <w:pPr>
        <w:pStyle w:val="TextBody"/>
        <w:bidi w:val="0"/>
        <w:spacing w:before="240" w:after="283"/>
        <w:ind w:left="0" w:right="0" w:hanging="0"/>
        <w:jc w:val="both"/>
        <w:rPr>
          <w:rFonts w:ascii="Times New Roman;Times;serif" w:hAnsi="Times New Roman;Times;serif"/>
          <w:color w:val="000000"/>
          <w:sz w:val="20"/>
        </w:rPr>
      </w:pPr>
      <w:r>
        <w:rPr>
          <w:rFonts w:ascii="Times New Roman;Times;serif" w:hAnsi="Times New Roman;Times;serif"/>
          <w:color w:val="000000"/>
          <w:sz w:val="24"/>
        </w:rPr>
        <w:t>A.</w:t>
      </w:r>
      <w:r>
        <w:rPr>
          <w:rFonts w:ascii="Times New Roman;Times;serif" w:hAnsi="Times New Roman;Times;serif"/>
          <w:color w:val="000000"/>
          <w:sz w:val="20"/>
        </w:rPr>
        <w:t> </w:t>
      </w:r>
      <w:r>
        <w:rPr>
          <w:rFonts w:ascii="Times New Roman;Times;serif" w:hAnsi="Times New Roman;Times;serif"/>
          <w:color w:val="000000"/>
          <w:sz w:val="24"/>
        </w:rPr>
        <w:t xml:space="preserve">The Seller desires to sell to the Buyer, and the Buyer desires to purchase from the Seller, </w:t>
      </w:r>
      <w:r>
        <w:rPr>
          <w:rFonts w:ascii="Times New Roman;Times;serif" w:hAnsi="Times New Roman;Times;serif"/>
          <w:b/>
          <w:color w:val="000000"/>
          <w:sz w:val="24"/>
        </w:rPr>
        <w:t>Forty-Four Million Nine Hundred Forty-Six Thousand Nine Hundred and Seventy-Two (44,946,972) shares</w:t>
      </w:r>
      <w:r>
        <w:rPr>
          <w:rFonts w:ascii="Times New Roman;Times;serif" w:hAnsi="Times New Roman;Times;serif"/>
          <w:color w:val="000000"/>
          <w:sz w:val="24"/>
        </w:rPr>
        <w:t xml:space="preserve"> (collectively, the “</w:t>
      </w:r>
      <w:r>
        <w:rPr>
          <w:rFonts w:ascii="Times New Roman;Times;serif" w:hAnsi="Times New Roman;Times;serif"/>
          <w:color w:val="000000"/>
          <w:sz w:val="24"/>
          <w:u w:val="single"/>
        </w:rPr>
        <w:t>Shares</w:t>
      </w:r>
      <w:r>
        <w:rPr>
          <w:rFonts w:ascii="Times New Roman;Times;serif" w:hAnsi="Times New Roman;Times;serif"/>
          <w:color w:val="000000"/>
          <w:sz w:val="24"/>
        </w:rPr>
        <w:t>”) of the common stock, par value $0.001 per share, of Liquidmetal Technologies, Inc., a Delaware corporation (the “</w:t>
      </w:r>
      <w:r>
        <w:rPr>
          <w:rFonts w:ascii="Times New Roman;Times;serif" w:hAnsi="Times New Roman;Times;serif"/>
          <w:color w:val="000000"/>
          <w:sz w:val="24"/>
          <w:u w:val="single"/>
        </w:rPr>
        <w:t>Company</w:t>
      </w:r>
      <w:r>
        <w:rPr>
          <w:rFonts w:ascii="Times New Roman;Times;serif" w:hAnsi="Times New Roman;Times;serif"/>
          <w:color w:val="000000"/>
          <w:sz w:val="24"/>
        </w:rPr>
        <w:t>”), held by the Seller.</w:t>
      </w:r>
    </w:p>
    <w:p>
      <w:pPr>
        <w:pStyle w:val="TextBody"/>
        <w:bidi w:val="0"/>
        <w:spacing w:before="240" w:after="283"/>
        <w:ind w:left="0" w:right="0" w:hanging="0"/>
        <w:jc w:val="both"/>
        <w:rPr>
          <w:rFonts w:ascii="Times New Roman;Times;serif" w:hAnsi="Times New Roman;Times;serif"/>
          <w:color w:val="000000"/>
          <w:sz w:val="20"/>
        </w:rPr>
      </w:pPr>
      <w:r>
        <w:rPr>
          <w:rFonts w:ascii="Times New Roman;Times;serif" w:hAnsi="Times New Roman;Times;serif"/>
          <w:color w:val="000000"/>
          <w:sz w:val="24"/>
        </w:rPr>
        <w:t>B.</w:t>
      </w:r>
      <w:r>
        <w:rPr>
          <w:rFonts w:ascii="Times New Roman;Times;serif" w:hAnsi="Times New Roman;Times;serif"/>
          <w:color w:val="000000"/>
          <w:sz w:val="20"/>
        </w:rPr>
        <w:t> </w:t>
      </w:r>
      <w:r>
        <w:rPr>
          <w:rFonts w:ascii="Times New Roman;Times;serif" w:hAnsi="Times New Roman;Times;serif"/>
          <w:color w:val="000000"/>
          <w:sz w:val="24"/>
        </w:rPr>
        <w:t>The Seller and Buyer desire to consummate the purchase and sale of the Shares upon the terms and conditions set forth in this Agreement.</w:t>
      </w:r>
    </w:p>
    <w:p>
      <w:pPr>
        <w:pStyle w:val="TextBody"/>
        <w:bidi w:val="0"/>
        <w:spacing w:before="240" w:after="283"/>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Now, therefore, in consideration of the foregoing recitals and the terms, covenants, and agreements set forth herein, the parties hereto agree as follows:</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1.</w:t>
        <w:br/>
      </w:r>
      <w:r>
        <w:rPr>
          <w:rFonts w:ascii="Times New Roman;Times;serif" w:hAnsi="Times New Roman;Times;serif"/>
          <w:color w:val="000000"/>
          <w:sz w:val="24"/>
          <w:u w:val="single"/>
        </w:rPr>
        <w:t>Purchase and Sale of Shares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1.1</w:t>
      </w:r>
      <w:r>
        <w:rPr>
          <w:rFonts w:ascii="Times New Roman;Times;serif" w:hAnsi="Times New Roman;Times;serif"/>
          <w:color w:val="000000"/>
          <w:sz w:val="20"/>
        </w:rPr>
        <w:t> </w:t>
      </w:r>
      <w:r>
        <w:rPr>
          <w:rFonts w:ascii="Times New Roman;Times;serif" w:hAnsi="Times New Roman;Times;serif"/>
          <w:color w:val="000000"/>
          <w:sz w:val="24"/>
          <w:u w:val="single"/>
        </w:rPr>
        <w:t>Sale of Shares</w:t>
      </w:r>
      <w:r>
        <w:rPr>
          <w:rFonts w:ascii="Times New Roman;Times;serif" w:hAnsi="Times New Roman;Times;serif"/>
          <w:color w:val="000000"/>
          <w:sz w:val="24"/>
        </w:rPr>
        <w:t>.  At the Closing (as defined below), the Seller shall sell to the Buyer, and the Buyer shall purchase from the Seller, the Shares, free and clear of all liens, claims, and encumbrances.  The purchase price for the Shares (the “</w:t>
      </w:r>
      <w:r>
        <w:rPr>
          <w:rFonts w:ascii="Times New Roman;Times;serif" w:hAnsi="Times New Roman;Times;serif"/>
          <w:color w:val="000000"/>
          <w:sz w:val="24"/>
          <w:u w:val="single"/>
        </w:rPr>
        <w:t>Purchase Price</w:t>
      </w:r>
      <w:r>
        <w:rPr>
          <w:rFonts w:ascii="Times New Roman;Times;serif" w:hAnsi="Times New Roman;Times;serif"/>
          <w:color w:val="000000"/>
          <w:sz w:val="24"/>
        </w:rPr>
        <w:t xml:space="preserve">”) will be an amount equal to </w:t>
      </w:r>
      <w:r>
        <w:rPr>
          <w:rFonts w:ascii="Times New Roman;Times;serif" w:hAnsi="Times New Roman;Times;serif"/>
          <w:b/>
          <w:color w:val="000000"/>
          <w:sz w:val="24"/>
        </w:rPr>
        <w:t>U.S. Dollars 0.16 (USD).</w:t>
      </w:r>
      <w:r>
        <w:rPr>
          <w:rFonts w:ascii="Times New Roman;Times;serif" w:hAnsi="Times New Roman;Times;serif"/>
          <w:color w:val="000000"/>
          <w:sz w:val="24"/>
        </w:rPr>
        <w:t xml:space="preserve">  The aggregate Purchase Price for the Shares will be paid by the execution and delivery of a promissory note in substantially the form set forth as </w:t>
      </w:r>
      <w:r>
        <w:rPr>
          <w:rFonts w:ascii="Times New Roman;Times;serif" w:hAnsi="Times New Roman;Times;serif"/>
          <w:color w:val="000000"/>
          <w:sz w:val="24"/>
          <w:u w:val="single"/>
        </w:rPr>
        <w:t>Exhibit A</w:t>
      </w:r>
      <w:r>
        <w:rPr>
          <w:rFonts w:ascii="Times New Roman;Times;serif" w:hAnsi="Times New Roman;Times;serif"/>
          <w:color w:val="000000"/>
          <w:sz w:val="24"/>
        </w:rPr>
        <w:t xml:space="preserve"> hereto (the “</w:t>
      </w:r>
      <w:r>
        <w:rPr>
          <w:rFonts w:ascii="Times New Roman;Times;serif" w:hAnsi="Times New Roman;Times;serif"/>
          <w:color w:val="000000"/>
          <w:sz w:val="24"/>
          <w:u w:val="single"/>
        </w:rPr>
        <w:t>Purchase Note</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1.2</w:t>
      </w:r>
      <w:r>
        <w:rPr>
          <w:rFonts w:ascii="Times New Roman;Times;serif" w:hAnsi="Times New Roman;Times;serif"/>
          <w:color w:val="000000"/>
          <w:sz w:val="20"/>
        </w:rPr>
        <w:t> </w:t>
      </w:r>
      <w:r>
        <w:rPr>
          <w:rFonts w:ascii="Times New Roman;Times;serif" w:hAnsi="Times New Roman;Times;serif"/>
          <w:color w:val="000000"/>
          <w:sz w:val="24"/>
          <w:u w:val="single"/>
        </w:rPr>
        <w:t>Closing</w:t>
      </w:r>
      <w:r>
        <w:rPr>
          <w:rFonts w:ascii="Times New Roman;Times;serif" w:hAnsi="Times New Roman;Times;serif"/>
          <w:color w:val="000000"/>
          <w:sz w:val="24"/>
        </w:rPr>
        <w:t>.  The purchase and sale of the Shares by the Buyer (the “</w:t>
      </w:r>
      <w:r>
        <w:rPr>
          <w:rFonts w:ascii="Times New Roman;Times;serif" w:hAnsi="Times New Roman;Times;serif"/>
          <w:color w:val="000000"/>
          <w:sz w:val="24"/>
          <w:u w:val="single"/>
        </w:rPr>
        <w:t>Closing</w:t>
      </w:r>
      <w:r>
        <w:rPr>
          <w:rFonts w:ascii="Times New Roman;Times;serif" w:hAnsi="Times New Roman;Times;serif"/>
          <w:color w:val="000000"/>
          <w:sz w:val="24"/>
        </w:rPr>
        <w:t>”) shall take place remotely via the exchange of documents and signatures on the date of this Agreement or on such other date as is mutually agreed upon by the Company and the Purchasers.  At the Closing, the Seller shall deliver or cause to be delivered to the Buyer certificates (or evidence of book entry) representing the Shares, duly endorsed for transfer to the Buyer or accompanied by duly executed stock powers, and the Buyer shall execute and deliver the Purchase Note to Buyer.</w:t>
      </w:r>
    </w:p>
    <w:p>
      <w:pPr>
        <w:pStyle w:val="HorizontalLine"/>
        <w:pBdr>
          <w:bottom w:val="single" w:sz="12" w:space="0" w:color="808080"/>
        </w:pBdr>
        <w:bidi w:val="0"/>
        <w:spacing w:before="200" w:after="200"/>
        <w:jc w:val="left"/>
        <w:rPr/>
      </w:pPr>
      <w:r>
        <w:rPr/>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2.</w:t>
        <w:br/>
      </w:r>
      <w:r>
        <w:rPr>
          <w:rFonts w:ascii="Times New Roman;Times;serif" w:hAnsi="Times New Roman;Times;serif"/>
          <w:color w:val="000000"/>
          <w:sz w:val="24"/>
          <w:u w:val="single"/>
        </w:rPr>
        <w:t>Representations and Warranties of the Seller</w:t>
      </w:r>
    </w:p>
    <w:p>
      <w:pPr>
        <w:pStyle w:val="TextBody"/>
        <w:bidi w:val="0"/>
        <w:spacing w:before="240" w:after="283"/>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The Seller hereby makes the following representations and warranties to the Buyer, all of which shall survive the Closing: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2.1</w:t>
      </w:r>
      <w:r>
        <w:rPr>
          <w:rFonts w:ascii="Times New Roman;Times;serif" w:hAnsi="Times New Roman;Times;serif"/>
          <w:color w:val="000000"/>
          <w:sz w:val="20"/>
        </w:rPr>
        <w:t> </w:t>
      </w:r>
      <w:r>
        <w:rPr>
          <w:rFonts w:ascii="Times New Roman;Times;serif" w:hAnsi="Times New Roman;Times;serif"/>
          <w:color w:val="000000"/>
          <w:sz w:val="24"/>
          <w:u w:val="single"/>
        </w:rPr>
        <w:t>Ownership of Stock</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(a)</w:t>
      </w:r>
      <w:r>
        <w:rPr>
          <w:rFonts w:ascii="Times New Roman;Times;serif" w:hAnsi="Times New Roman;Times;serif"/>
          <w:color w:val="000000"/>
          <w:sz w:val="20"/>
        </w:rPr>
        <w:t> </w:t>
      </w:r>
      <w:r>
        <w:rPr>
          <w:rFonts w:ascii="Times New Roman;Times;serif" w:hAnsi="Times New Roman;Times;serif"/>
          <w:color w:val="000000"/>
          <w:sz w:val="24"/>
        </w:rPr>
        <w:t>The Shares are owned by the Seller free and clear of all liens, encumbrances, charges, and assessments of every nature and subject to no restrictions with respect to transferability.  The Seller has full power and authority to assign and transfer the Shares to the Buyer in accordance with the terms hereof.</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(b)</w:t>
      </w:r>
      <w:r>
        <w:rPr>
          <w:rFonts w:ascii="Times New Roman;Times;serif" w:hAnsi="Times New Roman;Times;serif"/>
          <w:color w:val="000000"/>
          <w:sz w:val="20"/>
        </w:rPr>
        <w:t> </w:t>
      </w:r>
      <w:r>
        <w:rPr>
          <w:rFonts w:ascii="Times New Roman;Times;serif" w:hAnsi="Times New Roman;Times;serif"/>
          <w:color w:val="000000"/>
          <w:sz w:val="24"/>
        </w:rPr>
        <w:t>Except for this Agreement, there are no outstanding options, contracts, calls, commitments, agreements, rights to purchase, rights of first refusal, proxies, powers of attorney, demands, or rights of any character relating to the Shares.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2.2</w:t>
      </w:r>
      <w:r>
        <w:rPr>
          <w:rFonts w:ascii="Times New Roman;Times;serif" w:hAnsi="Times New Roman;Times;serif"/>
          <w:color w:val="000000"/>
          <w:sz w:val="20"/>
        </w:rPr>
        <w:t> </w:t>
      </w:r>
      <w:r>
        <w:rPr>
          <w:rFonts w:ascii="Times New Roman;Times;serif" w:hAnsi="Times New Roman;Times;serif"/>
          <w:color w:val="000000"/>
          <w:sz w:val="24"/>
          <w:u w:val="single"/>
        </w:rPr>
        <w:t>Authority</w:t>
      </w:r>
      <w:r>
        <w:rPr>
          <w:rFonts w:ascii="Times New Roman;Times;serif" w:hAnsi="Times New Roman;Times;serif"/>
          <w:color w:val="000000"/>
          <w:sz w:val="24"/>
        </w:rPr>
        <w:t>.  No act, consent, or proceeding on the part of any person or entity is necessary to authorize this Agreement and the transfer and sale of the Shares pursuant hereto.  This Agreement constitutes the valid and binding agreement of the Seller, enforceable in accordance with its terms, except as such may be limited by bankruptcy, insolvency, reorganization, or other laws affecting creditors’ rights generally, and by general equitable principles.</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3.</w:t>
      </w:r>
    </w:p>
    <w:p>
      <w:pPr>
        <w:pStyle w:val="TextBody"/>
        <w:bidi w:val="0"/>
        <w:spacing w:before="0" w:after="0"/>
        <w:jc w:val="center"/>
        <w:rPr>
          <w:rFonts w:ascii="Times New Roman;Times;serif" w:hAnsi="Times New Roman;Times;serif"/>
          <w:color w:val="000000"/>
          <w:sz w:val="24"/>
          <w:u w:val="single"/>
        </w:rPr>
      </w:pPr>
      <w:r>
        <w:rPr>
          <w:rFonts w:ascii="Times New Roman;Times;serif" w:hAnsi="Times New Roman;Times;serif"/>
          <w:color w:val="000000"/>
          <w:sz w:val="24"/>
          <w:u w:val="single"/>
        </w:rPr>
        <w:t>Representations and Warranties of the Buyer</w:t>
      </w:r>
    </w:p>
    <w:p>
      <w:pPr>
        <w:pStyle w:val="TextBody"/>
        <w:bidi w:val="0"/>
        <w:spacing w:before="240" w:after="283"/>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The Buyer hereby makes the following representations and warranties to the Seller, all of which shall survive the Closing: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3.1</w:t>
      </w:r>
      <w:r>
        <w:rPr>
          <w:rFonts w:ascii="Times New Roman;Times;serif" w:hAnsi="Times New Roman;Times;serif"/>
          <w:color w:val="000000"/>
          <w:sz w:val="20"/>
        </w:rPr>
        <w:t> </w:t>
      </w:r>
      <w:r>
        <w:rPr>
          <w:rFonts w:ascii="Times New Roman;Times;serif" w:hAnsi="Times New Roman;Times;serif"/>
          <w:color w:val="000000"/>
          <w:sz w:val="24"/>
          <w:u w:val="single"/>
        </w:rPr>
        <w:t>Investment Experience</w:t>
      </w:r>
      <w:r>
        <w:rPr>
          <w:rFonts w:ascii="Times New Roman;Times;serif" w:hAnsi="Times New Roman;Times;serif"/>
          <w:color w:val="000000"/>
          <w:sz w:val="24"/>
        </w:rPr>
        <w:t>.  The Buyer has substantial experience in evaluating and investing in securities in companies similar to the Company such that the Buyer is capable of evaluating the merits and risks of the Buyer’s investment in the Company and has the capacity to protect its own interests.  The Buyer is an “Accredited Investor” as defined in Rule 501 of Regulation D promulgated under the Securities Act of 1933, as amended (the “</w:t>
      </w:r>
      <w:r>
        <w:rPr>
          <w:rFonts w:ascii="Times New Roman;Times;serif" w:hAnsi="Times New Roman;Times;serif"/>
          <w:color w:val="000000"/>
          <w:sz w:val="24"/>
          <w:u w:val="single"/>
        </w:rPr>
        <w:t>Securities Act</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3.2</w:t>
      </w:r>
      <w:r>
        <w:rPr>
          <w:rFonts w:ascii="Times New Roman;Times;serif" w:hAnsi="Times New Roman;Times;serif"/>
          <w:color w:val="000000"/>
          <w:sz w:val="20"/>
        </w:rPr>
        <w:t> </w:t>
      </w:r>
      <w:r>
        <w:rPr>
          <w:rFonts w:ascii="Times New Roman;Times;serif" w:hAnsi="Times New Roman;Times;serif"/>
          <w:color w:val="000000"/>
          <w:sz w:val="24"/>
          <w:u w:val="single"/>
        </w:rPr>
        <w:t>Investment</w:t>
      </w:r>
      <w:r>
        <w:rPr>
          <w:rFonts w:ascii="Times New Roman;Times;serif" w:hAnsi="Times New Roman;Times;serif"/>
          <w:color w:val="000000"/>
          <w:sz w:val="24"/>
        </w:rPr>
        <w:t>.  The Buyer is acquiring the Shares for investment for the Buyer’s own account, not as a nominee or agent, and not with the view to, or for resale in connection with, any distribution thereof.  The Buyer understands that the Shares have not been, and will not be when delivered hereunder, registered under the Securities Act by reason of a specific exemption from the registration provisions of the Securities Act, the availability of which depends upon, among other things, the bona fide nature of the investment intent and the accuracy of the representations as expressed herein.  The Buyer can afford the loss of his or her entire investment in the Shares.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3.3</w:t>
      </w:r>
      <w:r>
        <w:rPr>
          <w:rFonts w:ascii="Times New Roman;Times;serif" w:hAnsi="Times New Roman;Times;serif"/>
          <w:color w:val="000000"/>
          <w:sz w:val="20"/>
        </w:rPr>
        <w:t> </w:t>
      </w:r>
      <w:r>
        <w:rPr>
          <w:rFonts w:ascii="Times New Roman;Times;serif" w:hAnsi="Times New Roman;Times;serif"/>
          <w:color w:val="000000"/>
          <w:sz w:val="24"/>
          <w:u w:val="single"/>
        </w:rPr>
        <w:t>Rule 144</w:t>
      </w:r>
      <w:r>
        <w:rPr>
          <w:rFonts w:ascii="Times New Roman;Times;serif" w:hAnsi="Times New Roman;Times;serif"/>
          <w:color w:val="000000"/>
          <w:sz w:val="24"/>
        </w:rPr>
        <w:t>.  The Buyer acknowledges that the Shares must be held indefinitely unless subsequently registered under the Securities Act or unless an exemption from such registration is available.  The Buyer is aware of the provisions of Rule 144 promulgated under the Securities Act which permit limited resale of shares sold in a private transaction subject to the satisfaction of certain conditions, which may include, among other things, the existence of a public market for</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the shares, the availability of certain current public information about the Company, the resale occurring not less than one year after a party has purchased and paid for the security to be sold, and the sale being effected through a “broker’s transaction” or in transactions directly with a “market maker”.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3.4</w:t>
      </w:r>
      <w:r>
        <w:rPr>
          <w:rFonts w:ascii="Times New Roman;Times;serif" w:hAnsi="Times New Roman;Times;serif"/>
          <w:color w:val="000000"/>
          <w:sz w:val="20"/>
        </w:rPr>
        <w:t> </w:t>
      </w:r>
      <w:r>
        <w:rPr>
          <w:rFonts w:ascii="Times New Roman;Times;serif" w:hAnsi="Times New Roman;Times;serif"/>
          <w:color w:val="000000"/>
          <w:sz w:val="24"/>
          <w:u w:val="single"/>
        </w:rPr>
        <w:t>Authorization; Corporate Power</w:t>
      </w:r>
      <w:r>
        <w:rPr>
          <w:rFonts w:ascii="Times New Roman;Times;serif" w:hAnsi="Times New Roman;Times;serif"/>
          <w:color w:val="000000"/>
          <w:sz w:val="24"/>
        </w:rPr>
        <w:t>.  The Buyer has all requisite legal power and authority to execute and deliver this Agreement and the Purchase Note and to carry out and perform his, her, or its obligations under the terms of this Agreement, the Purchase Note, and the transactions contemplated hereby.  This Agreement and the Purchase Note, when executed and delivered by the Buyer, will constitute valid and legally binding obligations of the Buyer, enforceable in accordance with their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3.5</w:t>
      </w:r>
      <w:r>
        <w:rPr>
          <w:rFonts w:ascii="Times New Roman;Times;serif" w:hAnsi="Times New Roman;Times;serif"/>
          <w:color w:val="000000"/>
          <w:sz w:val="20"/>
        </w:rPr>
        <w:t> </w:t>
      </w:r>
      <w:r>
        <w:rPr>
          <w:rFonts w:ascii="Times New Roman;Times;serif" w:hAnsi="Times New Roman;Times;serif"/>
          <w:color w:val="000000"/>
          <w:sz w:val="24"/>
          <w:u w:val="single"/>
        </w:rPr>
        <w:t>Broker’s and Finders’ Fees</w:t>
      </w:r>
      <w:r>
        <w:rPr>
          <w:rFonts w:ascii="Times New Roman;Times;serif" w:hAnsi="Times New Roman;Times;serif"/>
          <w:color w:val="000000"/>
          <w:sz w:val="24"/>
        </w:rPr>
        <w:t>.  The Buyer has not incurred, and will not incur, directly or indirectly, any liability for brokerage or finders’ fees or agents’ commissions or any similar charges in connection with this Agreement or any transaction contemplated hereby.</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3.6</w:t>
      </w:r>
      <w:r>
        <w:rPr>
          <w:rFonts w:ascii="Times New Roman;Times;serif" w:hAnsi="Times New Roman;Times;serif"/>
          <w:color w:val="000000"/>
          <w:sz w:val="20"/>
        </w:rPr>
        <w:t> </w:t>
      </w:r>
      <w:r>
        <w:rPr>
          <w:rFonts w:ascii="Times New Roman;Times;serif" w:hAnsi="Times New Roman;Times;serif"/>
          <w:color w:val="000000"/>
          <w:sz w:val="24"/>
          <w:u w:val="single"/>
        </w:rPr>
        <w:t>Legends</w:t>
      </w:r>
      <w:r>
        <w:rPr>
          <w:rFonts w:ascii="Times New Roman;Times;serif" w:hAnsi="Times New Roman;Times;serif"/>
          <w:color w:val="000000"/>
          <w:sz w:val="24"/>
        </w:rPr>
        <w:t>.  It is understood that each certificate representing the Shares shall bear substantially the following legend:</w:t>
      </w:r>
    </w:p>
    <w:p>
      <w:pPr>
        <w:pStyle w:val="TextBody"/>
        <w:bidi w:val="0"/>
        <w:spacing w:before="240" w:after="283"/>
        <w:ind w:left="720" w:right="0" w:hanging="0"/>
        <w:jc w:val="both"/>
        <w:rPr>
          <w:color w:val="000000"/>
        </w:rPr>
      </w:pPr>
      <w:r>
        <w:rPr>
          <w:color w:val="000000"/>
        </w:rPr>
        <w:t>“</w:t>
      </w:r>
      <w:r>
        <w:rPr>
          <w:rFonts w:ascii="Times New Roman;Times;serif" w:hAnsi="Times New Roman;Times;serif"/>
          <w:color w:val="000000"/>
          <w:sz w:val="24"/>
        </w:rPr>
        <w:t>THESE SECURITIES HAVE NOT BEEN REGISTERED UNDER THE SECURITIES ACT OF 1933, AS AMENDED.  THEY MAY NOT BE SOLD, OFFERED FOR SALE, PLEDGED OR HYPOTHECATED IN THE ABSENCE OF AN EFFECTIVE REGISTRATION STATEMENT AS TO THE SECURITIES UNDER SAID ACT OR AN OPINION OF COUNSEL SATISFACTORY TO THE CORPORATION THAT SUCH REGISTRATION IS NOT REQUIRED.”</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3.7</w:t>
      </w:r>
      <w:r>
        <w:rPr>
          <w:rFonts w:ascii="Times New Roman;Times;serif" w:hAnsi="Times New Roman;Times;serif"/>
          <w:color w:val="000000"/>
          <w:sz w:val="20"/>
        </w:rPr>
        <w:t> </w:t>
      </w:r>
      <w:r>
        <w:rPr>
          <w:rFonts w:ascii="Times New Roman;Times;serif" w:hAnsi="Times New Roman;Times;serif"/>
          <w:color w:val="000000"/>
          <w:sz w:val="24"/>
          <w:u w:val="single"/>
        </w:rPr>
        <w:t>Residence/Location of Buyer</w:t>
      </w:r>
      <w:r>
        <w:rPr>
          <w:rFonts w:ascii="Times New Roman;Times;serif" w:hAnsi="Times New Roman;Times;serif"/>
          <w:color w:val="000000"/>
          <w:sz w:val="24"/>
        </w:rPr>
        <w:t>.  If the Buyer is an individual, the Buyer is a permanent resident of the state indicated on the Buyer’s signature page to this Agreement.  If the Buyer is a business entity or trust, the Buyer has its principal location in, the state or other jurisdiction indicated on the Buyer’s signature page to this Agreement.</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4.</w:t>
        <w:br/>
      </w:r>
      <w:r>
        <w:rPr>
          <w:rFonts w:ascii="Times New Roman;Times;serif" w:hAnsi="Times New Roman;Times;serif"/>
          <w:color w:val="000000"/>
          <w:sz w:val="24"/>
          <w:u w:val="single"/>
        </w:rPr>
        <w:t>Miscellaneous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4.1</w:t>
      </w:r>
      <w:r>
        <w:rPr>
          <w:rFonts w:ascii="Times New Roman;Times;serif" w:hAnsi="Times New Roman;Times;serif"/>
          <w:color w:val="000000"/>
          <w:sz w:val="20"/>
        </w:rPr>
        <w:t> </w:t>
      </w:r>
      <w:r>
        <w:rPr>
          <w:rFonts w:ascii="Times New Roman;Times;serif" w:hAnsi="Times New Roman;Times;serif"/>
          <w:color w:val="000000"/>
          <w:sz w:val="24"/>
          <w:u w:val="single"/>
        </w:rPr>
        <w:t>Entire Agreement</w:t>
      </w:r>
      <w:r>
        <w:rPr>
          <w:rFonts w:ascii="Times New Roman;Times;serif" w:hAnsi="Times New Roman;Times;serif"/>
          <w:color w:val="000000"/>
          <w:sz w:val="24"/>
        </w:rPr>
        <w:t>.  This Agreement, together with the Purchase Note, constitutes the entire agreement between the parties with respect to the subject matter hereof and supersedes all prior agreements and understandings, both written and oral, between the parties with respect to the subject matter hereof.</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4.2</w:t>
      </w:r>
      <w:r>
        <w:rPr>
          <w:rFonts w:ascii="Times New Roman;Times;serif" w:hAnsi="Times New Roman;Times;serif"/>
          <w:color w:val="000000"/>
          <w:sz w:val="20"/>
        </w:rPr>
        <w:t> </w:t>
      </w:r>
      <w:r>
        <w:rPr>
          <w:rFonts w:ascii="Times New Roman;Times;serif" w:hAnsi="Times New Roman;Times;serif"/>
          <w:color w:val="000000"/>
          <w:sz w:val="24"/>
          <w:u w:val="single"/>
        </w:rPr>
        <w:t>Assignment</w:t>
      </w:r>
      <w:r>
        <w:rPr>
          <w:rFonts w:ascii="Times New Roman;Times;serif" w:hAnsi="Times New Roman;Times;serif"/>
          <w:color w:val="000000"/>
          <w:sz w:val="24"/>
        </w:rPr>
        <w:t>. The rights and obligations of the Buyer hereunder may not be assigned, transferred or encumbered without the prior written consent of the Seller.  This Agreement shall be binding upon and inure to the benefit of the parties hereto and the permitted successors and assigns of the parties.</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4.3</w:t>
      </w:r>
      <w:r>
        <w:rPr>
          <w:rFonts w:ascii="Times New Roman;Times;serif" w:hAnsi="Times New Roman;Times;serif"/>
          <w:color w:val="000000"/>
          <w:sz w:val="20"/>
        </w:rPr>
        <w:t> </w:t>
      </w:r>
      <w:r>
        <w:rPr>
          <w:rFonts w:ascii="Times New Roman;Times;serif" w:hAnsi="Times New Roman;Times;serif"/>
          <w:color w:val="000000"/>
          <w:sz w:val="24"/>
          <w:u w:val="single"/>
        </w:rPr>
        <w:t>Governing Law; Disputes</w:t>
      </w:r>
      <w:r>
        <w:rPr>
          <w:rFonts w:ascii="Times New Roman;Times;serif" w:hAnsi="Times New Roman;Times;serif"/>
          <w:color w:val="000000"/>
          <w:sz w:val="24"/>
        </w:rPr>
        <w:t>. The validity, construction, enforcement, and interpretation of this Agreement are governed by the laws of Delaware without regard to principles of conflict of laws. All disputes arising from or relating to this Agreement or the transactions contemplated hereby shall be resolved exclusively in the state or federal courts located in Orange County, California.</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4.4</w:t>
      </w:r>
      <w:r>
        <w:rPr>
          <w:rFonts w:ascii="Times New Roman;Times;serif" w:hAnsi="Times New Roman;Times;serif"/>
          <w:color w:val="000000"/>
          <w:sz w:val="20"/>
        </w:rPr>
        <w:t> </w:t>
      </w:r>
      <w:r>
        <w:rPr>
          <w:rFonts w:ascii="Times New Roman;Times;serif" w:hAnsi="Times New Roman;Times;serif"/>
          <w:color w:val="000000"/>
          <w:sz w:val="24"/>
          <w:u w:val="single"/>
        </w:rPr>
        <w:t>Amendments</w:t>
      </w:r>
      <w:r>
        <w:rPr>
          <w:rFonts w:ascii="Times New Roman;Times;serif" w:hAnsi="Times New Roman;Times;serif"/>
          <w:color w:val="000000"/>
          <w:sz w:val="24"/>
        </w:rPr>
        <w:t>.  This Agreement may not be amended except in a writing executed by the party against whom enforcement of the amendment is sought.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4.5 </w:t>
      </w:r>
      <w:r>
        <w:rPr>
          <w:rFonts w:ascii="Times New Roman;Times;serif" w:hAnsi="Times New Roman;Times;serif"/>
          <w:color w:val="000000"/>
          <w:sz w:val="24"/>
          <w:u w:val="single"/>
        </w:rPr>
        <w:t>Counterparts</w:t>
      </w:r>
      <w:r>
        <w:rPr>
          <w:rFonts w:ascii="Times New Roman;Times;serif" w:hAnsi="Times New Roman;Times;serif"/>
          <w:color w:val="000000"/>
          <w:sz w:val="24"/>
        </w:rPr>
        <w:t>.  This Agreement may be executed in counterparts, each of which shall constitute an original, and all of which, together, shall constitute the same instrument.  Delivery of signed copies hereof by facsimile, PDF or other electronic format shall be deemed to be effective delivery of an original counterpart.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4.6</w:t>
      </w:r>
      <w:r>
        <w:rPr>
          <w:rFonts w:ascii="Times New Roman;Times;serif" w:hAnsi="Times New Roman;Times;serif"/>
          <w:color w:val="000000"/>
          <w:sz w:val="20"/>
        </w:rPr>
        <w:t> </w:t>
      </w:r>
      <w:r>
        <w:rPr>
          <w:rFonts w:ascii="Times New Roman;Times;serif" w:hAnsi="Times New Roman;Times;serif"/>
          <w:color w:val="000000"/>
          <w:sz w:val="24"/>
          <w:u w:val="single"/>
        </w:rPr>
        <w:t>Headings</w:t>
      </w:r>
      <w:r>
        <w:rPr>
          <w:rFonts w:ascii="Times New Roman;Times;serif" w:hAnsi="Times New Roman;Times;serif"/>
          <w:color w:val="000000"/>
          <w:sz w:val="24"/>
        </w:rPr>
        <w:t>.  The headings of the sections of this Agreement are for convenience and shall not by themselves determine the interpretation of this Agreement.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4.7</w:t>
      </w:r>
      <w:r>
        <w:rPr>
          <w:rFonts w:ascii="Times New Roman;Times;serif" w:hAnsi="Times New Roman;Times;serif"/>
          <w:color w:val="000000"/>
          <w:sz w:val="20"/>
        </w:rPr>
        <w:t> </w:t>
      </w:r>
      <w:r>
        <w:rPr>
          <w:rFonts w:ascii="Times New Roman;Times;serif" w:hAnsi="Times New Roman;Times;serif"/>
          <w:color w:val="000000"/>
          <w:sz w:val="24"/>
          <w:u w:val="single"/>
        </w:rPr>
        <w:t>Expenses</w:t>
      </w:r>
      <w:r>
        <w:rPr>
          <w:rFonts w:ascii="Times New Roman;Times;serif" w:hAnsi="Times New Roman;Times;serif"/>
          <w:color w:val="000000"/>
          <w:sz w:val="24"/>
        </w:rPr>
        <w:t>.  Each of the parties shall bear its own expenses and the expenses of its counsel and other agents in connection with the transactions contemplated hereby.</w:t>
      </w:r>
    </w:p>
    <w:p>
      <w:pPr>
        <w:pStyle w:val="TextBody"/>
        <w:bidi w:val="0"/>
        <w:spacing w:before="0" w:after="0"/>
        <w:jc w:val="left"/>
        <w:rPr/>
      </w:pPr>
      <w:r>
        <w:rPr/>
      </w:r>
    </w:p>
    <w:p>
      <w:pPr>
        <w:pStyle w:val="TextBody"/>
        <w:bidi w:val="0"/>
        <w:spacing w:before="0" w:after="0"/>
        <w:jc w:val="center"/>
        <w:rPr>
          <w:rFonts w:ascii="Times New Roman;Times;serif" w:hAnsi="Times New Roman;Times;serif"/>
          <w:b/>
          <w:i/>
          <w:color w:val="000000"/>
          <w:sz w:val="24"/>
        </w:rPr>
      </w:pPr>
      <w:r>
        <w:rPr>
          <w:rFonts w:ascii="Times New Roman;Times;serif" w:hAnsi="Times New Roman;Times;serif"/>
          <w:b/>
          <w:i/>
          <w:color w:val="000000"/>
          <w:sz w:val="24"/>
        </w:rPr>
        <w:t>[Signatures on following page(s)]</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both"/>
        <w:rPr>
          <w:rFonts w:ascii="Times New Roman;Times;serif" w:hAnsi="Times New Roman;Times;serif"/>
          <w:color w:val="000000"/>
          <w:sz w:val="24"/>
        </w:rPr>
      </w:pPr>
      <w:r>
        <w:rPr>
          <w:rFonts w:ascii="Times New Roman;Times;serif" w:hAnsi="Times New Roman;Times;serif"/>
          <w:b/>
          <w:color w:val="000000"/>
          <w:sz w:val="24"/>
        </w:rPr>
        <w:t xml:space="preserve">IN WITNESS WHEREOF, </w:t>
      </w:r>
      <w:r>
        <w:rPr>
          <w:rFonts w:ascii="Times New Roman;Times;serif" w:hAnsi="Times New Roman;Times;serif"/>
          <w:color w:val="000000"/>
          <w:sz w:val="24"/>
        </w:rPr>
        <w:t>the parties hereto have executed this Stock Purchase Agreement as of the day and year first above written.</w:t>
      </w:r>
    </w:p>
    <w:p>
      <w:pPr>
        <w:pStyle w:val="TextBody"/>
        <w:bidi w:val="0"/>
        <w:spacing w:before="240" w:after="283"/>
        <w:ind w:left="0" w:right="0" w:firstLine="720"/>
        <w:jc w:val="both"/>
        <w:rPr>
          <w:sz w:val="24"/>
        </w:rPr>
      </w:pPr>
      <w:r>
        <w:rPr>
          <w:sz w:val="24"/>
        </w:rPr>
      </w:r>
    </w:p>
    <w:tbl>
      <w:tblPr>
        <w:tblW w:w="4055" w:type="dxa"/>
        <w:jc w:val="left"/>
        <w:tblInd w:w="0" w:type="dxa"/>
        <w:tblLayout w:type="fixed"/>
        <w:tblCellMar>
          <w:top w:w="0" w:type="dxa"/>
          <w:left w:w="0" w:type="dxa"/>
          <w:bottom w:w="0" w:type="dxa"/>
          <w:right w:w="0" w:type="dxa"/>
        </w:tblCellMar>
      </w:tblPr>
      <w:tblGrid>
        <w:gridCol w:w="60"/>
        <w:gridCol w:w="3995"/>
      </w:tblGrid>
      <w:tr>
        <w:trPr/>
        <w:tc>
          <w:tcPr>
            <w:tcW w:w="6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0"/>
              <w:jc w:val="left"/>
              <w:rPr/>
            </w:pPr>
            <w:r>
              <w:rPr/>
              <w:t xml:space="preserve">  </w:t>
            </w:r>
          </w:p>
          <w:p>
            <w:pPr>
              <w:pStyle w:val="TableContents"/>
              <w:bidi w:val="0"/>
              <w:spacing w:before="0" w:after="0"/>
              <w:ind w:left="5040" w:right="0" w:hanging="0"/>
              <w:jc w:val="left"/>
              <w:rPr>
                <w:b/>
                <w:sz w:val="24"/>
              </w:rPr>
            </w:pPr>
            <w:r>
              <w:rPr>
                <w:b/>
                <w:sz w:val="24"/>
              </w:rPr>
              <w:t>SELLER</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LIQUIDMETAL TECHNOLOGY LTD</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By:</w:t>
            </w:r>
            <w:r>
              <w:rPr>
                <w:sz w:val="24"/>
                <w:u w:val="single"/>
              </w:rPr>
              <w:t xml:space="preserve"> /s/ Lugee Li Yeung Tak</w:t>
            </w:r>
            <w:r>
              <w:rPr>
                <w:sz w:val="24"/>
              </w:rPr>
              <w:t> </w:t>
            </w:r>
          </w:p>
          <w:p>
            <w:pPr>
              <w:pStyle w:val="TableContents"/>
              <w:bidi w:val="0"/>
              <w:spacing w:before="0" w:after="0"/>
              <w:ind w:left="5040" w:right="0" w:hanging="0"/>
              <w:jc w:val="left"/>
              <w:rPr>
                <w:sz w:val="24"/>
              </w:rPr>
            </w:pPr>
            <w:r>
              <w:rPr>
                <w:sz w:val="24"/>
              </w:rPr>
              <w:t>Lugee Li Yeung Tak</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Address:</w:t>
            </w:r>
          </w:p>
          <w:p>
            <w:pPr>
              <w:pStyle w:val="TableContents"/>
              <w:bidi w:val="0"/>
              <w:spacing w:before="0" w:after="0"/>
              <w:ind w:left="5040" w:right="0" w:hanging="0"/>
              <w:jc w:val="left"/>
              <w:rPr>
                <w:sz w:val="24"/>
              </w:rPr>
            </w:pPr>
            <w:r>
              <w:rPr>
                <w:sz w:val="24"/>
              </w:rPr>
              <w:t>Room 906, Tai Tung Building</w:t>
            </w:r>
          </w:p>
          <w:p>
            <w:pPr>
              <w:pStyle w:val="TableContents"/>
              <w:bidi w:val="0"/>
              <w:spacing w:before="0" w:after="0"/>
              <w:ind w:left="5040" w:right="0" w:hanging="0"/>
              <w:jc w:val="left"/>
              <w:rPr>
                <w:sz w:val="24"/>
              </w:rPr>
            </w:pPr>
            <w:r>
              <w:rPr>
                <w:sz w:val="24"/>
              </w:rPr>
              <w:t>8 Fleming Road</w:t>
            </w:r>
          </w:p>
          <w:p>
            <w:pPr>
              <w:pStyle w:val="TableContents"/>
              <w:bidi w:val="0"/>
              <w:spacing w:before="0" w:after="0"/>
              <w:ind w:left="5040" w:right="0" w:hanging="0"/>
              <w:jc w:val="left"/>
              <w:rPr>
                <w:sz w:val="24"/>
              </w:rPr>
            </w:pPr>
            <w:r>
              <w:rPr>
                <w:sz w:val="24"/>
              </w:rPr>
              <w:t>Wanchai, Hong Kong</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Email:</w:t>
            </w:r>
          </w:p>
          <w:p>
            <w:pPr>
              <w:pStyle w:val="TableContents"/>
              <w:bidi w:val="0"/>
              <w:spacing w:before="240" w:after="283"/>
              <w:jc w:val="left"/>
              <w:rPr/>
            </w:pPr>
            <w:r>
              <w:rPr/>
            </w:r>
          </w:p>
          <w:p>
            <w:pPr>
              <w:pStyle w:val="TableContents"/>
              <w:bidi w:val="0"/>
              <w:spacing w:before="0" w:after="0"/>
              <w:jc w:val="left"/>
              <w:rPr/>
            </w:pPr>
            <w:r>
              <w:rPr/>
            </w:r>
          </w:p>
          <w:p>
            <w:pPr>
              <w:pStyle w:val="TableContents"/>
              <w:bidi w:val="0"/>
              <w:spacing w:before="240" w:after="283"/>
              <w:ind w:left="5040" w:right="0" w:hanging="0"/>
              <w:jc w:val="left"/>
              <w:rPr>
                <w:b/>
                <w:sz w:val="24"/>
              </w:rPr>
            </w:pPr>
            <w:r>
              <w:rPr>
                <w:b/>
                <w:sz w:val="24"/>
              </w:rPr>
              <w:t>BUYER:</w:t>
            </w:r>
          </w:p>
          <w:p>
            <w:pPr>
              <w:pStyle w:val="TableContents"/>
              <w:bidi w:val="0"/>
              <w:spacing w:before="0" w:after="0"/>
              <w:jc w:val="left"/>
              <w:rPr/>
            </w:pPr>
            <w:r>
              <w:rPr/>
            </w:r>
          </w:p>
          <w:p>
            <w:pPr>
              <w:pStyle w:val="TableContents"/>
              <w:bidi w:val="0"/>
              <w:spacing w:before="0" w:after="0"/>
              <w:ind w:left="5040" w:right="0" w:hanging="0"/>
              <w:jc w:val="left"/>
              <w:rPr>
                <w:b/>
                <w:sz w:val="24"/>
              </w:rPr>
            </w:pPr>
            <w:r>
              <w:rPr>
                <w:b/>
                <w:sz w:val="24"/>
              </w:rPr>
              <w:t>MATANA VENTURES, LLC.</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By:</w:t>
            </w:r>
            <w:r>
              <w:rPr>
                <w:sz w:val="24"/>
                <w:u w:val="single"/>
              </w:rPr>
              <w:t xml:space="preserve"> /s/ Bill Wing Chun Lui</w:t>
            </w:r>
            <w:r>
              <w:rPr>
                <w:sz w:val="24"/>
              </w:rPr>
              <w:t> </w:t>
            </w:r>
          </w:p>
          <w:p>
            <w:pPr>
              <w:pStyle w:val="TableContents"/>
              <w:bidi w:val="0"/>
              <w:spacing w:before="0" w:after="0"/>
              <w:ind w:left="5040" w:right="0" w:hanging="0"/>
              <w:jc w:val="left"/>
              <w:rPr>
                <w:sz w:val="24"/>
              </w:rPr>
            </w:pPr>
            <w:r>
              <w:rPr>
                <w:sz w:val="24"/>
              </w:rPr>
              <w:t>Bill Wing Chun Lui, Manager</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Address:</w:t>
            </w:r>
          </w:p>
          <w:p>
            <w:pPr>
              <w:pStyle w:val="TableContents"/>
              <w:bidi w:val="0"/>
              <w:spacing w:before="0" w:after="0"/>
              <w:ind w:left="5040" w:right="0" w:hanging="0"/>
              <w:jc w:val="left"/>
              <w:rPr>
                <w:sz w:val="24"/>
              </w:rPr>
            </w:pPr>
            <w:r>
              <w:rPr>
                <w:sz w:val="24"/>
              </w:rPr>
              <w:t>2804 Dawley Ave.</w:t>
            </w:r>
          </w:p>
          <w:p>
            <w:pPr>
              <w:pStyle w:val="TableContents"/>
              <w:bidi w:val="0"/>
              <w:spacing w:before="0" w:after="0"/>
              <w:ind w:left="5040" w:right="0" w:hanging="0"/>
              <w:jc w:val="left"/>
              <w:rPr>
                <w:sz w:val="24"/>
              </w:rPr>
            </w:pPr>
            <w:r>
              <w:rPr>
                <w:sz w:val="24"/>
              </w:rPr>
              <w:t>Orlando, FL 32806</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Email:</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ind w:left="0" w:right="0" w:firstLine="720"/>
        <w:jc w:val="left"/>
        <w:rPr/>
      </w:pPr>
      <w:r>
        <w:rPr/>
      </w:r>
    </w:p>
    <w:p>
      <w:pPr>
        <w:pStyle w:val="HorizontalLine"/>
        <w:pBdr>
          <w:bottom w:val="single" w:sz="12" w:space="0" w:color="808080"/>
        </w:pBdr>
        <w:bidi w:val="0"/>
        <w:spacing w:before="200" w:after="200"/>
        <w:jc w:val="left"/>
        <w:rPr/>
      </w:pPr>
      <w:r>
        <w:rPr/>
      </w:r>
    </w:p>
    <w:p>
      <w:pPr>
        <w:pStyle w:val="TextBody"/>
        <w:bidi w:val="0"/>
        <w:spacing w:before="0" w:after="240"/>
        <w:jc w:val="left"/>
        <w:rPr/>
      </w:pPr>
      <w:r>
        <w:rPr/>
      </w:r>
    </w:p>
    <w:p>
      <w:pPr>
        <w:pStyle w:val="TextBody"/>
        <w:bidi w:val="0"/>
        <w:spacing w:before="240" w:after="283"/>
        <w:jc w:val="center"/>
        <w:rPr>
          <w:rFonts w:ascii="Times New Roman;Times;serif" w:hAnsi="Times New Roman;Times;serif"/>
          <w:b/>
          <w:color w:val="000000"/>
          <w:sz w:val="24"/>
          <w:u w:val="single"/>
        </w:rPr>
      </w:pPr>
      <w:r>
        <w:rPr>
          <w:rFonts w:ascii="Times New Roman;Times;serif" w:hAnsi="Times New Roman;Times;serif"/>
          <w:b/>
          <w:color w:val="000000"/>
          <w:sz w:val="24"/>
          <w:u w:val="single"/>
        </w:rPr>
        <w:t>EXHIBIT A</w:t>
      </w:r>
    </w:p>
    <w:p>
      <w:pPr>
        <w:pStyle w:val="TextBody"/>
        <w:bidi w:val="0"/>
        <w:spacing w:before="240" w:after="283"/>
        <w:jc w:val="center"/>
        <w:rPr>
          <w:rFonts w:ascii="Times New Roman;Times;serif" w:hAnsi="Times New Roman;Times;serif"/>
          <w:b/>
          <w:color w:val="000000"/>
          <w:sz w:val="24"/>
        </w:rPr>
      </w:pPr>
      <w:r>
        <w:rPr>
          <w:rFonts w:ascii="Times New Roman;Times;serif" w:hAnsi="Times New Roman;Times;serif"/>
          <w:b/>
          <w:color w:val="000000"/>
          <w:sz w:val="24"/>
        </w:rPr>
        <w:t>FORM OF PURCHASE NOTE</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(attached)</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0" w:after="283"/>
        <w:jc w:val="center"/>
        <w:rPr>
          <w:rFonts w:ascii="Times New Roman;Times;serif" w:hAnsi="Times New Roman;Times;serif"/>
          <w:color w:val="000000"/>
          <w:sz w:val="24"/>
        </w:rPr>
      </w:pPr>
      <w:r>
        <w:rPr>
          <w:rFonts w:ascii="Times New Roman;Times;serif" w:hAnsi="Times New Roman;Times;serif"/>
          <w:color w:val="000000"/>
          <w:sz w:val="24"/>
        </w:rPr>
        <w:t>PROMISSORY NOTE</w:t>
      </w:r>
    </w:p>
    <w:p>
      <w:pPr>
        <w:pStyle w:val="TextBody"/>
        <w:bidi w:val="0"/>
        <w:spacing w:before="0" w:after="0"/>
        <w:jc w:val="left"/>
        <w:rPr/>
      </w:pPr>
      <w:r>
        <w:rPr/>
      </w:r>
    </w:p>
    <w:p>
      <w:pPr>
        <w:pStyle w:val="TextBody"/>
        <w:bidi w:val="0"/>
        <w:spacing w:before="30" w:after="283"/>
        <w:jc w:val="left"/>
        <w:rPr/>
      </w:pPr>
      <w:r>
        <w:rPr/>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 xml:space="preserve">Amount:  </w:t>
      </w:r>
      <w:r>
        <w:rPr>
          <w:rFonts w:ascii="Times New Roman;Times;serif" w:hAnsi="Times New Roman;Times;serif"/>
          <w:b/>
          <w:color w:val="000000"/>
          <w:sz w:val="24"/>
        </w:rPr>
        <w:t>$7,191,515.52</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Term:  Three Years</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Maturity Date:  October 9, 2027</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Location:  Orlando, Florida</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Date:  October 10, 2024</w:t>
      </w:r>
    </w:p>
    <w:p>
      <w:pPr>
        <w:pStyle w:val="TextBody"/>
        <w:bidi w:val="0"/>
        <w:spacing w:before="0" w:after="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w:t>
      </w:r>
      <w:r>
        <w:rPr>
          <w:rFonts w:ascii="Times New Roman;Times;serif" w:hAnsi="Times New Roman;Times;serif"/>
          <w:color w:val="000000"/>
          <w:sz w:val="20"/>
        </w:rPr>
        <w:t> </w:t>
      </w:r>
      <w:r>
        <w:rPr>
          <w:rFonts w:ascii="Times New Roman;Times;serif" w:hAnsi="Times New Roman;Times;serif"/>
          <w:b/>
          <w:color w:val="000000"/>
          <w:sz w:val="24"/>
          <w:u w:val="single"/>
        </w:rPr>
        <w:t>Agreement to Pay</w:t>
      </w:r>
      <w:r>
        <w:rPr>
          <w:rFonts w:ascii="Times New Roman;Times;serif" w:hAnsi="Times New Roman;Times;serif"/>
          <w:color w:val="000000"/>
          <w:sz w:val="24"/>
        </w:rPr>
        <w:t>.   </w:t>
      </w:r>
      <w:r>
        <w:rPr>
          <w:rFonts w:ascii="Times New Roman;Times;serif" w:hAnsi="Times New Roman;Times;serif"/>
          <w:b/>
          <w:color w:val="000000"/>
          <w:sz w:val="24"/>
        </w:rPr>
        <w:t>FOR VALUE RECEIVED</w:t>
      </w:r>
      <w:r>
        <w:rPr>
          <w:rFonts w:ascii="Times New Roman;Times;serif" w:hAnsi="Times New Roman;Times;serif"/>
          <w:color w:val="000000"/>
          <w:sz w:val="24"/>
        </w:rPr>
        <w:t>, the undersigned, </w:t>
      </w:r>
      <w:r>
        <w:rPr>
          <w:rFonts w:ascii="Times New Roman;Times;serif" w:hAnsi="Times New Roman;Times;serif"/>
          <w:b/>
          <w:color w:val="000000"/>
          <w:sz w:val="24"/>
        </w:rPr>
        <w:t>MATANA VENTURES, LLC.,</w:t>
      </w:r>
      <w:r>
        <w:rPr>
          <w:rFonts w:ascii="Times New Roman;Times;serif" w:hAnsi="Times New Roman;Times;serif"/>
          <w:color w:val="000000"/>
          <w:sz w:val="24"/>
        </w:rPr>
        <w:t> a Florida limited liability company (collectively, if more than one, “</w:t>
      </w:r>
      <w:r>
        <w:rPr>
          <w:rFonts w:ascii="Times New Roman;Times;serif" w:hAnsi="Times New Roman;Times;serif"/>
          <w:b/>
          <w:color w:val="000000"/>
          <w:sz w:val="24"/>
          <w:u w:val="single"/>
        </w:rPr>
        <w:t>Borrower</w:t>
      </w:r>
      <w:r>
        <w:rPr>
          <w:rFonts w:ascii="Times New Roman;Times;serif" w:hAnsi="Times New Roman;Times;serif"/>
          <w:color w:val="000000"/>
          <w:sz w:val="24"/>
        </w:rPr>
        <w:t>”), whose mailing address is 2804 Dawley Ave., Orlando, FL 32806, hereby agrees and promises to pay to the order of </w:t>
      </w:r>
      <w:r>
        <w:rPr>
          <w:rFonts w:ascii="Times New Roman;Times;serif" w:hAnsi="Times New Roman;Times;serif"/>
          <w:b/>
          <w:color w:val="000000"/>
          <w:sz w:val="24"/>
        </w:rPr>
        <w:t>LIQIDMETAL TECHNOLOGY LIMITED</w:t>
      </w:r>
      <w:r>
        <w:rPr>
          <w:rFonts w:ascii="Times New Roman;Times;serif" w:hAnsi="Times New Roman;Times;serif"/>
          <w:color w:val="000000"/>
          <w:sz w:val="24"/>
        </w:rPr>
        <w:t>, a Hong Kong corporation, its endorsees, successors and assigns (“</w:t>
      </w:r>
      <w:r>
        <w:rPr>
          <w:rFonts w:ascii="Times New Roman;Times;serif" w:hAnsi="Times New Roman;Times;serif"/>
          <w:b/>
          <w:color w:val="000000"/>
          <w:sz w:val="24"/>
          <w:u w:val="single"/>
        </w:rPr>
        <w:t>Lender</w:t>
      </w:r>
      <w:r>
        <w:rPr>
          <w:rFonts w:ascii="Times New Roman;Times;serif" w:hAnsi="Times New Roman;Times;serif"/>
          <w:color w:val="000000"/>
          <w:sz w:val="24"/>
        </w:rPr>
        <w:t>”), at its principal office and mailing address at Room 906, Tai Tung building, 8 Fleming Road, Wanchai, Hong Kong, or such other place as Lender may from time to time designate, the principal sum of Seven Million One Hundred and Ninety-One Thousand Five Hundred and Fifteen Dollars and Fifty-Two Cents ($7,191,515.52) (“Loan”), together with interest on the unpaid principal balance at the rates provided for herein, payable in lawful money of the United States of America which shall be legal tender for public and private debts at the time of payment.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w:t>
      </w:r>
      <w:r>
        <w:rPr>
          <w:rFonts w:ascii="Times New Roman;Times;serif" w:hAnsi="Times New Roman;Times;serif"/>
          <w:color w:val="000000"/>
          <w:sz w:val="20"/>
        </w:rPr>
        <w:t> </w:t>
      </w:r>
      <w:r>
        <w:rPr>
          <w:rFonts w:ascii="Times New Roman;Times;serif" w:hAnsi="Times New Roman;Times;serif"/>
          <w:b/>
          <w:color w:val="000000"/>
          <w:sz w:val="24"/>
          <w:u w:val="single"/>
        </w:rPr>
        <w:t>Interest Rate</w:t>
      </w:r>
      <w:r>
        <w:rPr>
          <w:rFonts w:ascii="Times New Roman;Times;serif" w:hAnsi="Times New Roman;Times;serif"/>
          <w:color w:val="000000"/>
          <w:sz w:val="24"/>
        </w:rPr>
        <w:t>.   The outstanding principal balance hereof shall bear interest at the rate of five percent (5.00%) per annum (“</w:t>
      </w:r>
      <w:r>
        <w:rPr>
          <w:rFonts w:ascii="Times New Roman;Times;serif" w:hAnsi="Times New Roman;Times;serif"/>
          <w:b/>
          <w:color w:val="000000"/>
          <w:sz w:val="24"/>
          <w:u w:val="single"/>
        </w:rPr>
        <w:t>Regular Rate</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3.</w:t>
      </w:r>
      <w:r>
        <w:rPr>
          <w:rFonts w:ascii="Times New Roman;Times;serif" w:hAnsi="Times New Roman;Times;serif"/>
          <w:color w:val="000000"/>
          <w:sz w:val="20"/>
        </w:rPr>
        <w:t> </w:t>
      </w:r>
      <w:r>
        <w:rPr>
          <w:rFonts w:ascii="Times New Roman;Times;serif" w:hAnsi="Times New Roman;Times;serif"/>
          <w:b/>
          <w:color w:val="000000"/>
          <w:sz w:val="24"/>
          <w:u w:val="single"/>
        </w:rPr>
        <w:t>Monthly Payments</w:t>
      </w:r>
      <w:r>
        <w:rPr>
          <w:rFonts w:ascii="Times New Roman;Times;serif" w:hAnsi="Times New Roman;Times;serif"/>
          <w:color w:val="000000"/>
          <w:sz w:val="24"/>
        </w:rPr>
        <w:t>.   Principal and interest upon this Promissory Note shall be paid as follows:</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a.</w:t>
      </w:r>
      <w:r>
        <w:rPr>
          <w:rFonts w:ascii="Times New Roman;Times;serif" w:hAnsi="Times New Roman;Times;serif"/>
          <w:color w:val="000000"/>
          <w:sz w:val="20"/>
        </w:rPr>
        <w:t> </w:t>
      </w:r>
      <w:r>
        <w:rPr>
          <w:rFonts w:ascii="Times New Roman;Times;serif" w:hAnsi="Times New Roman;Times;serif"/>
          <w:b/>
          <w:color w:val="000000"/>
          <w:sz w:val="24"/>
          <w:u w:val="single"/>
        </w:rPr>
        <w:t>Principal</w:t>
      </w:r>
      <w:r>
        <w:rPr>
          <w:rFonts w:ascii="Times New Roman;Times;serif" w:hAnsi="Times New Roman;Times;serif"/>
          <w:color w:val="000000"/>
          <w:sz w:val="24"/>
        </w:rPr>
        <w:t>.  Any payments paid by Borrower and received by Lender before the maturity of the Loan shall be credited to the Principal of the Loan.</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b.</w:t>
      </w:r>
      <w:r>
        <w:rPr>
          <w:rFonts w:ascii="Times New Roman;Times;serif" w:hAnsi="Times New Roman;Times;serif"/>
          <w:color w:val="000000"/>
          <w:sz w:val="20"/>
        </w:rPr>
        <w:t> </w:t>
      </w:r>
      <w:r>
        <w:rPr>
          <w:rFonts w:ascii="Times New Roman;Times;serif" w:hAnsi="Times New Roman;Times;serif"/>
          <w:b/>
          <w:color w:val="000000"/>
          <w:sz w:val="24"/>
          <w:u w:val="single"/>
        </w:rPr>
        <w:t>Interest</w:t>
      </w:r>
      <w:r>
        <w:rPr>
          <w:rFonts w:ascii="Times New Roman;Times;serif" w:hAnsi="Times New Roman;Times;serif"/>
          <w:color w:val="000000"/>
          <w:sz w:val="24"/>
        </w:rPr>
        <w:t>.  All interest shall be payable at the maturity of the Loan.  Any interests associated with the principal of the Loan that has been repaid by the maturity date of the Loan shall be waived.</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c.</w:t>
      </w:r>
      <w:r>
        <w:rPr>
          <w:rFonts w:ascii="Times New Roman;Times;serif" w:hAnsi="Times New Roman;Times;serif"/>
          <w:color w:val="000000"/>
          <w:sz w:val="20"/>
        </w:rPr>
        <w:t> </w:t>
      </w:r>
      <w:r>
        <w:rPr>
          <w:rFonts w:ascii="Times New Roman;Times;serif" w:hAnsi="Times New Roman;Times;serif"/>
          <w:b/>
          <w:color w:val="000000"/>
          <w:sz w:val="24"/>
          <w:u w:val="single"/>
        </w:rPr>
        <w:t>Default Interest</w:t>
      </w:r>
      <w:r>
        <w:rPr>
          <w:rFonts w:ascii="Times New Roman;Times;serif" w:hAnsi="Times New Roman;Times;serif"/>
          <w:color w:val="000000"/>
          <w:sz w:val="24"/>
        </w:rPr>
        <w:t>.  Any interest associated with the outstanding principal of the Loan after the maturity date of the loan shall bear interest at the rate of fifteen percent (15.00%) per annum (“</w:t>
      </w:r>
      <w:r>
        <w:rPr>
          <w:rFonts w:ascii="Times New Roman;Times;serif" w:hAnsi="Times New Roman;Times;serif"/>
          <w:b/>
          <w:color w:val="000000"/>
          <w:sz w:val="24"/>
          <w:u w:val="single"/>
        </w:rPr>
        <w:t>Default Rate</w:t>
      </w:r>
      <w:r>
        <w:rPr>
          <w:rFonts w:ascii="Times New Roman;Times;serif" w:hAnsi="Times New Roman;Times;serif"/>
          <w:color w:val="000000"/>
          <w:sz w:val="24"/>
        </w:rPr>
        <w:t>”).</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d.</w:t>
      </w:r>
      <w:r>
        <w:rPr>
          <w:rFonts w:ascii="Times New Roman;Times;serif" w:hAnsi="Times New Roman;Times;serif"/>
          <w:color w:val="000000"/>
          <w:sz w:val="20"/>
        </w:rPr>
        <w:t> </w:t>
      </w:r>
      <w:r>
        <w:rPr>
          <w:rFonts w:ascii="Times New Roman;Times;serif" w:hAnsi="Times New Roman;Times;serif"/>
          <w:b/>
          <w:color w:val="000000"/>
          <w:sz w:val="24"/>
          <w:u w:val="single"/>
        </w:rPr>
        <w:t>Balloon Payment</w:t>
      </w:r>
      <w:r>
        <w:rPr>
          <w:rFonts w:ascii="Times New Roman;Times;serif" w:hAnsi="Times New Roman;Times;serif"/>
          <w:color w:val="000000"/>
          <w:sz w:val="24"/>
        </w:rPr>
        <w:t>.   This is a balloon note and the principal and the interest of the Loan is expected to be paid on the maturity date of the Loan.  If the Loan is not fully repaid by Borrower on the maturity date of the Loan, the accrued interest shall be added to the principal of the Loan.</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e.</w:t>
      </w:r>
      <w:r>
        <w:rPr>
          <w:rFonts w:ascii="Times New Roman;Times;serif" w:hAnsi="Times New Roman;Times;serif"/>
          <w:color w:val="000000"/>
          <w:sz w:val="20"/>
        </w:rPr>
        <w:t> </w:t>
      </w:r>
      <w:r>
        <w:rPr>
          <w:rFonts w:ascii="Times New Roman;Times;serif" w:hAnsi="Times New Roman;Times;serif"/>
          <w:b/>
          <w:color w:val="000000"/>
          <w:sz w:val="24"/>
          <w:u w:val="single"/>
        </w:rPr>
        <w:t>Payment Method</w:t>
      </w:r>
      <w:r>
        <w:rPr>
          <w:rFonts w:ascii="Times New Roman;Times;serif" w:hAnsi="Times New Roman;Times;serif"/>
          <w:color w:val="000000"/>
          <w:sz w:val="24"/>
        </w:rPr>
        <w:t>.    Payments under this Promissory Note shall be made by preauthorized Automated Clearinghouse transactions (“</w:t>
      </w:r>
      <w:r>
        <w:rPr>
          <w:rFonts w:ascii="Times New Roman;Times;serif" w:hAnsi="Times New Roman;Times;serif"/>
          <w:b/>
          <w:color w:val="000000"/>
          <w:sz w:val="24"/>
        </w:rPr>
        <w:t>ACH</w:t>
      </w:r>
      <w:r>
        <w:rPr>
          <w:rFonts w:ascii="Times New Roman;Times;serif" w:hAnsi="Times New Roman;Times;serif"/>
          <w:color w:val="000000"/>
          <w:sz w:val="24"/>
        </w:rPr>
        <w:t>”) or by</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such other reasonable method as Lender directs, to such bank account or other place as Lender may from time to time designate to Borrower in writing.</w:t>
      </w:r>
    </w:p>
    <w:p>
      <w:pPr>
        <w:pStyle w:val="TextBody"/>
        <w:bidi w:val="0"/>
        <w:spacing w:lineRule="auto" w:line="240" w:before="240" w:after="283"/>
        <w:ind w:left="0" w:right="0" w:hanging="0"/>
        <w:jc w:val="left"/>
        <w:rPr>
          <w:color w:val="000000"/>
        </w:rPr>
      </w:pPr>
      <w:r>
        <w:rPr>
          <w:color w:val="000000"/>
        </w:rPr>
        <w:t xml:space="preserve">             </w:t>
      </w:r>
      <w:r>
        <w:rPr>
          <w:rFonts w:ascii="Times New Roman;Times;serif" w:hAnsi="Times New Roman;Times;serif"/>
          <w:b/>
          <w:color w:val="000000"/>
          <w:sz w:val="24"/>
        </w:rPr>
        <w:t>f.</w:t>
      </w:r>
      <w:r>
        <w:rPr>
          <w:rFonts w:ascii="Times New Roman;Times;serif" w:hAnsi="Times New Roman;Times;serif"/>
          <w:color w:val="000000"/>
          <w:sz w:val="20"/>
        </w:rPr>
        <w:t> </w:t>
      </w:r>
      <w:r>
        <w:rPr>
          <w:rFonts w:ascii="Times New Roman;Times;serif" w:hAnsi="Times New Roman;Times;serif"/>
          <w:b/>
          <w:color w:val="000000"/>
          <w:sz w:val="24"/>
          <w:u w:val="single"/>
        </w:rPr>
        <w:t>Application of Payments</w:t>
      </w:r>
      <w:r>
        <w:rPr>
          <w:rFonts w:ascii="Times New Roman;Times;serif" w:hAnsi="Times New Roman;Times;serif"/>
          <w:color w:val="000000"/>
          <w:sz w:val="24"/>
        </w:rPr>
        <w:t>.   All payments shall be applied first (1st) to principal of the Loan, second (2nd) to accrued interest at the Regular Rate on the outstanding amount of the principal, and third (3rd) to accrued interest at the Default Rate on the outstanding amount of the principal.</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4.</w:t>
      </w:r>
      <w:r>
        <w:rPr>
          <w:rFonts w:ascii="Times New Roman;Times;serif" w:hAnsi="Times New Roman;Times;serif"/>
          <w:color w:val="000000"/>
          <w:sz w:val="20"/>
        </w:rPr>
        <w:t> </w:t>
      </w:r>
      <w:r>
        <w:rPr>
          <w:rFonts w:ascii="Times New Roman;Times;serif" w:hAnsi="Times New Roman;Times;serif"/>
          <w:b/>
          <w:color w:val="000000"/>
          <w:sz w:val="24"/>
          <w:u w:val="single"/>
        </w:rPr>
        <w:t>Late Charge</w:t>
      </w:r>
      <w:r>
        <w:rPr>
          <w:rFonts w:ascii="Times New Roman;Times;serif" w:hAnsi="Times New Roman;Times;serif"/>
          <w:color w:val="000000"/>
          <w:sz w:val="24"/>
        </w:rPr>
        <w:t>.   There is no Late Charge fees associated with the payment of the Loan by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5.</w:t>
      </w:r>
      <w:r>
        <w:rPr>
          <w:rFonts w:ascii="Times New Roman;Times;serif" w:hAnsi="Times New Roman;Times;serif"/>
          <w:color w:val="000000"/>
          <w:sz w:val="20"/>
        </w:rPr>
        <w:t> </w:t>
      </w:r>
      <w:r>
        <w:rPr>
          <w:rFonts w:ascii="Times New Roman;Times;serif" w:hAnsi="Times New Roman;Times;serif"/>
          <w:b/>
          <w:color w:val="000000"/>
          <w:sz w:val="24"/>
          <w:u w:val="single"/>
        </w:rPr>
        <w:t>Default</w:t>
      </w:r>
      <w:r>
        <w:rPr>
          <w:rFonts w:ascii="Times New Roman;Times;serif" w:hAnsi="Times New Roman;Times;serif"/>
          <w:color w:val="000000"/>
          <w:sz w:val="24"/>
        </w:rPr>
        <w:t>.   Borrower is in Default if Borrower fails to pay off all the outstanding balance of the Loan at the maturity of the Loan.  Upon the occurrence Default, the entire unpaid principal balance together with accrued interest thereon at the Regular Rate and all other obligations arising under this Promissory Note, shall become, without notice, immediately due and payable at the option of Lender.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6.</w:t>
      </w:r>
      <w:r>
        <w:rPr>
          <w:rFonts w:ascii="Times New Roman;Times;serif" w:hAnsi="Times New Roman;Times;serif"/>
          <w:color w:val="000000"/>
          <w:sz w:val="20"/>
        </w:rPr>
        <w:t> </w:t>
      </w:r>
      <w:r>
        <w:rPr>
          <w:rFonts w:ascii="Times New Roman;Times;serif" w:hAnsi="Times New Roman;Times;serif"/>
          <w:b/>
          <w:color w:val="000000"/>
          <w:sz w:val="24"/>
          <w:u w:val="single"/>
        </w:rPr>
        <w:t>Lender Fees and Expenses</w:t>
      </w:r>
      <w:r>
        <w:rPr>
          <w:rFonts w:ascii="Times New Roman;Times;serif" w:hAnsi="Times New Roman;Times;serif"/>
          <w:color w:val="000000"/>
          <w:sz w:val="24"/>
        </w:rPr>
        <w:t>.   Borrower agrees to pay to Lender, immediately upon written notice from Lender, all actual costs, expenses, disbursements, and legal fees and expenses incurred by Lender and its counsel in connection with: (a) the collection, attempted collection, or negotiation and documentation of any settlement or workout of any payment due hereunder, and (b) any suit or proceeding whatsoever in regard to this Promissory Note, including, without limitation, in connection with any litigation, mediation, bankruptcy or administrative proceeding, and including any appellate proceeding in connection therewith. It is the intent of the parties that Borrower pay all expenses and attorneys’ fees incurred by Lender as a result of Lender’s entering into the loan transaction evidenced by this Promissory Note.</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7.</w:t>
      </w:r>
      <w:r>
        <w:rPr>
          <w:rFonts w:ascii="Times New Roman;Times;serif" w:hAnsi="Times New Roman;Times;serif"/>
          <w:color w:val="000000"/>
          <w:sz w:val="20"/>
        </w:rPr>
        <w:t> </w:t>
      </w:r>
      <w:r>
        <w:rPr>
          <w:rFonts w:ascii="Times New Roman;Times;serif" w:hAnsi="Times New Roman;Times;serif"/>
          <w:b/>
          <w:color w:val="000000"/>
          <w:sz w:val="24"/>
          <w:u w:val="single"/>
        </w:rPr>
        <w:t>Time of the Essence</w:t>
      </w:r>
      <w:r>
        <w:rPr>
          <w:rFonts w:ascii="Times New Roman;Times;serif" w:hAnsi="Times New Roman;Times;serif"/>
          <w:color w:val="000000"/>
          <w:sz w:val="24"/>
        </w:rPr>
        <w:t>.   Time is of the essence with regard to the performance of the obligations of Borrower in this Promissory Note and each and every term, covenant and condition herein by or applicable to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8.</w:t>
      </w:r>
      <w:r>
        <w:rPr>
          <w:rFonts w:ascii="Times New Roman;Times;serif" w:hAnsi="Times New Roman;Times;serif"/>
          <w:color w:val="000000"/>
          <w:sz w:val="20"/>
        </w:rPr>
        <w:t> </w:t>
      </w:r>
      <w:r>
        <w:rPr>
          <w:rFonts w:ascii="Times New Roman;Times;serif" w:hAnsi="Times New Roman;Times;serif"/>
          <w:b/>
          <w:color w:val="000000"/>
          <w:sz w:val="24"/>
          <w:u w:val="single"/>
        </w:rPr>
        <w:t>Governing Law</w:t>
      </w:r>
      <w:r>
        <w:rPr>
          <w:rFonts w:ascii="Times New Roman;Times;serif" w:hAnsi="Times New Roman;Times;serif"/>
          <w:color w:val="000000"/>
          <w:sz w:val="24"/>
        </w:rPr>
        <w:t>.   This Promissory Note and the rights and obligations of all parties hereunder shall be governed by and construed in accordance with the laws of the State of Florida.</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9.</w:t>
      </w:r>
      <w:r>
        <w:rPr>
          <w:rFonts w:ascii="Times New Roman;Times;serif" w:hAnsi="Times New Roman;Times;serif"/>
          <w:color w:val="000000"/>
          <w:sz w:val="20"/>
        </w:rPr>
        <w:t> </w:t>
      </w:r>
      <w:r>
        <w:rPr>
          <w:rFonts w:ascii="Times New Roman;Times;serif" w:hAnsi="Times New Roman;Times;serif"/>
          <w:b/>
          <w:color w:val="000000"/>
          <w:sz w:val="24"/>
          <w:u w:val="single"/>
        </w:rPr>
        <w:t>Jurisdiction</w:t>
      </w:r>
      <w:r>
        <w:rPr>
          <w:rFonts w:ascii="Times New Roman;Times;serif" w:hAnsi="Times New Roman;Times;serif"/>
          <w:color w:val="000000"/>
          <w:sz w:val="24"/>
        </w:rPr>
        <w:t>.   The parties hereto irrevocably (a) agree that any suit, action or other legal proceeding arising out of or relating to this Promissory Note shall be brought in a court of record of the State of Florida sitting in Miami-Dade County, Florida, or in the courts of the United States of America located in such county and state, (b) agree to the exclusive jurisdiction of such court in any suit, action or proceeding, and (c) waive any objection which it may have to the laying of venue of any such suit, action or proceeding in such courts and any claim that any such suit, action or proceeding has been brought in an inconvenient forum.</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10.</w:t>
      </w:r>
      <w:r>
        <w:rPr>
          <w:rFonts w:ascii="Times New Roman;Times;serif" w:hAnsi="Times New Roman;Times;serif"/>
          <w:color w:val="000000"/>
          <w:sz w:val="20"/>
        </w:rPr>
        <w:t> </w:t>
      </w:r>
      <w:r>
        <w:rPr>
          <w:rFonts w:ascii="Times New Roman;Times;serif" w:hAnsi="Times New Roman;Times;serif"/>
          <w:b/>
          <w:color w:val="000000"/>
          <w:sz w:val="24"/>
          <w:u w:val="single"/>
        </w:rPr>
        <w:t>Interest Limitation</w:t>
      </w:r>
      <w:r>
        <w:rPr>
          <w:rFonts w:ascii="Times New Roman;Times;serif" w:hAnsi="Times New Roman;Times;serif"/>
          <w:color w:val="000000"/>
          <w:sz w:val="24"/>
        </w:rPr>
        <w:t>. All agreements between Borrower and Lender are hereby expressly limited so that in no contingency or event whatsoever shall the amount paid or agreed to be paid to Lender for the use, forbearance, loaning or detention of the indebtedness evidenced</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hereby exceed the maximum permissible under applicable law. If from any circumstances whatsoever, fulfillment of any provisions of this Promissory Note at any time given shall exceed the maximum permissible under applicable law, then, the obligation to be fulfilled shall automatically be reduced to an amount which complies with applicable law, and if from any circumstances Lender should ever receive as interest an amount which would exceed the highest lawful rate of interest, such amount which would be in excess of such lawful rate of interest shall be applied to the reduction of the principal balance evidenced hereby and not to the payment of interest. This provision shall control every other provision of all agreements between Borrower and Lender and shall also be binding upon and available to any subsequent holder of this Promissory Note. All sums paid or agreed to be paid to Lender for the use, forbearance, or detention of the indebtedness evidenced hereby, shall, to the extent permitted by applicable law, be amortized, prorated, allocated, and spread throughout the full stated term of this Promissory Note until payment in full so that the rate or amount of interest on account of the indebtedness evidenced hereby does not exceed the maximum lawful rate of interest from time to time in effect and applicable to the indebtedness evidenced hereby for so long as such indebtedness is outstanding.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11.</w:t>
      </w:r>
      <w:r>
        <w:rPr>
          <w:rFonts w:ascii="Times New Roman;Times;serif" w:hAnsi="Times New Roman;Times;serif"/>
          <w:color w:val="000000"/>
          <w:sz w:val="20"/>
        </w:rPr>
        <w:t> </w:t>
      </w:r>
      <w:r>
        <w:rPr>
          <w:rFonts w:ascii="Times New Roman;Times;serif" w:hAnsi="Times New Roman;Times;serif"/>
          <w:b/>
          <w:color w:val="000000"/>
          <w:sz w:val="24"/>
          <w:u w:val="single"/>
        </w:rPr>
        <w:t>Waivers</w:t>
      </w:r>
      <w:r>
        <w:rPr>
          <w:rFonts w:ascii="Times New Roman;Times;serif" w:hAnsi="Times New Roman;Times;serif"/>
          <w:color w:val="000000"/>
          <w:sz w:val="24"/>
        </w:rPr>
        <w:t>.</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color w:val="000000"/>
          <w:sz w:val="24"/>
        </w:rPr>
        <w:t>a.</w:t>
      </w:r>
      <w:r>
        <w:rPr>
          <w:rFonts w:ascii="Times New Roman;Times;serif" w:hAnsi="Times New Roman;Times;serif"/>
          <w:color w:val="000000"/>
          <w:sz w:val="20"/>
        </w:rPr>
        <w:t> </w:t>
      </w:r>
      <w:r>
        <w:rPr>
          <w:rFonts w:ascii="Times New Roman;Times;serif" w:hAnsi="Times New Roman;Times;serif"/>
          <w:color w:val="000000"/>
          <w:sz w:val="24"/>
        </w:rPr>
        <w:t>Borrower and all persons or entities liable for all or part of the principal balance evidenced by this Promissory Note severally hereby waive presentment for payment, protest, notice of non-payment and notice of dishonor.</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color w:val="000000"/>
          <w:sz w:val="24"/>
        </w:rPr>
        <w:t>b.</w:t>
      </w:r>
      <w:r>
        <w:rPr>
          <w:rFonts w:ascii="Times New Roman;Times;serif" w:hAnsi="Times New Roman;Times;serif"/>
          <w:color w:val="000000"/>
          <w:sz w:val="20"/>
        </w:rPr>
        <w:t> </w:t>
      </w:r>
      <w:r>
        <w:rPr>
          <w:rFonts w:ascii="Times New Roman;Times;serif" w:hAnsi="Times New Roman;Times;serif"/>
          <w:color w:val="000000"/>
          <w:sz w:val="24"/>
        </w:rPr>
        <w:t>Borrower and all persons and entities liable for all or part of the principal balance evidenced by this Promissory Note hereby consent, without affecting their liability, to the granting, with or without notice, of any extension or alteration of time for payment of any sum or sums due hereunder or for the performance of any covenant, condition or agreement contained herein or therein, or the taking or releasing or subordinating of any security for the indebtedness evidenced hereby, or the acceptance of additional security of any kind, or any other modification or amendment of this Promissory Note, any release of, or resort to any party liable for payment hereof, and agree that such action will in no way release or discharge the liability of such parties, whether or not granted or done with the knowledge or consent of such parties.</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color w:val="000000"/>
          <w:sz w:val="24"/>
        </w:rPr>
        <w:t>c.</w:t>
      </w:r>
      <w:r>
        <w:rPr>
          <w:rFonts w:ascii="Times New Roman;Times;serif" w:hAnsi="Times New Roman;Times;serif"/>
          <w:color w:val="000000"/>
          <w:sz w:val="20"/>
        </w:rPr>
        <w:t> </w:t>
      </w:r>
      <w:r>
        <w:rPr>
          <w:rFonts w:ascii="Times New Roman;Times;serif" w:hAnsi="Times New Roman;Times;serif"/>
          <w:color w:val="000000"/>
          <w:sz w:val="24"/>
        </w:rPr>
        <w:t>Borrower and all persons and entities liable for all or a part of the principal balance evidenced by this Promissory Note hereby waive and renounce, to the extent permitted by applicable law, all rights to the benefits of any statute of limitations and any moratorium, reinstatement, marshalling, forbearance, valuation, stay, extension, redemption and appraisement now provided, or which may hereafter be provided, by the Constitution or laws of the United States of America or the state or commonwealth in which the Borrower is located against the enforcement and collection of the obligations evidenced by this Promissory Note.</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12.</w:t>
      </w:r>
      <w:r>
        <w:rPr>
          <w:rFonts w:ascii="Times New Roman;Times;serif" w:hAnsi="Times New Roman;Times;serif"/>
          <w:color w:val="000000"/>
          <w:sz w:val="20"/>
        </w:rPr>
        <w:t> </w:t>
      </w:r>
      <w:r>
        <w:rPr>
          <w:rFonts w:ascii="Times New Roman;Times;serif" w:hAnsi="Times New Roman;Times;serif"/>
          <w:b/>
          <w:color w:val="000000"/>
          <w:sz w:val="24"/>
          <w:u w:val="single"/>
        </w:rPr>
        <w:t>Borrower Not Released</w:t>
      </w:r>
      <w:r>
        <w:rPr>
          <w:rFonts w:ascii="Times New Roman;Times;serif" w:hAnsi="Times New Roman;Times;serif"/>
          <w:color w:val="000000"/>
          <w:sz w:val="24"/>
        </w:rPr>
        <w:t>.  No delay or omission of Lender to exercise any of its rights and remedies under this Promissory Note at any time following the happening of Default shall constitute a waiver of the right of Lender to exercise such rights and remedies at a later time by reason of Default or by reason of any subsequently occurring Default. The acceptance by Lender of payment of any sum payable hereunder after the due date of such payment shall not be a waiver of Lender’s right to either require prompt payment when due of all other sums payable hereunder or to declare a default for failure to make prompt payment.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13.</w:t>
      </w:r>
      <w:r>
        <w:rPr>
          <w:rFonts w:ascii="Times New Roman;Times;serif" w:hAnsi="Times New Roman;Times;serif"/>
          <w:color w:val="000000"/>
          <w:sz w:val="20"/>
        </w:rPr>
        <w:t> </w:t>
      </w:r>
      <w:r>
        <w:rPr>
          <w:rFonts w:ascii="Times New Roman;Times;serif" w:hAnsi="Times New Roman;Times;serif"/>
          <w:b/>
          <w:color w:val="000000"/>
          <w:sz w:val="24"/>
          <w:u w:val="single"/>
        </w:rPr>
        <w:t>Disbursement</w:t>
      </w:r>
      <w:r>
        <w:rPr>
          <w:rFonts w:ascii="Times New Roman;Times;serif" w:hAnsi="Times New Roman;Times;serif"/>
          <w:color w:val="000000"/>
          <w:sz w:val="24"/>
        </w:rPr>
        <w:t>.  Funds representing the proceeds of the indebtedness evidenced hereby shall not be disbursed to Borrower, but shall be used by Borrower to purchase Forty-Four Million Nine Hundred Forty-Six Thousand Nine Hundred and Seventy-Two (44,946,972) shares of Liquid Metal Technologies, Inc. (“LQMT”) from Lender.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14.</w:t>
      </w:r>
      <w:r>
        <w:rPr>
          <w:rFonts w:ascii="Times New Roman;Times;serif" w:hAnsi="Times New Roman;Times;serif"/>
          <w:color w:val="000000"/>
          <w:sz w:val="20"/>
        </w:rPr>
        <w:t> </w:t>
      </w:r>
      <w:r>
        <w:rPr>
          <w:rFonts w:ascii="Times New Roman;Times;serif" w:hAnsi="Times New Roman;Times;serif"/>
          <w:b/>
          <w:color w:val="000000"/>
          <w:sz w:val="24"/>
          <w:u w:val="single"/>
        </w:rPr>
        <w:t>Note Controls</w:t>
      </w:r>
      <w:r>
        <w:rPr>
          <w:rFonts w:ascii="Times New Roman;Times;serif" w:hAnsi="Times New Roman;Times;serif"/>
          <w:color w:val="000000"/>
          <w:sz w:val="24"/>
        </w:rPr>
        <w:t>.  In the event of any inconsistency between the provisions of this Promissory Note and those of Stock Purchase Agreement, the provisions of this Promissory Note shall control over those of Stock Purchase Agreement.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15.</w:t>
      </w:r>
      <w:r>
        <w:rPr>
          <w:rFonts w:ascii="Times New Roman;Times;serif" w:hAnsi="Times New Roman;Times;serif"/>
          <w:color w:val="000000"/>
          <w:sz w:val="20"/>
        </w:rPr>
        <w:t> </w:t>
      </w:r>
      <w:r>
        <w:rPr>
          <w:rFonts w:ascii="Times New Roman;Times;serif" w:hAnsi="Times New Roman;Times;serif"/>
          <w:b/>
          <w:color w:val="000000"/>
          <w:sz w:val="24"/>
          <w:u w:val="single"/>
        </w:rPr>
        <w:t>Notices</w:t>
      </w:r>
      <w:r>
        <w:rPr>
          <w:rFonts w:ascii="Times New Roman;Times;serif" w:hAnsi="Times New Roman;Times;serif"/>
          <w:color w:val="000000"/>
          <w:sz w:val="24"/>
        </w:rPr>
        <w:t>.  All notices required or permitted to be given hereunder to Borrower or Lender shall be given in the manner and to the place as provided by the parties from time to time in writing.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16.</w:t>
      </w:r>
      <w:r>
        <w:rPr>
          <w:rFonts w:ascii="Times New Roman;Times;serif" w:hAnsi="Times New Roman;Times;serif"/>
          <w:color w:val="000000"/>
          <w:sz w:val="20"/>
        </w:rPr>
        <w:t> </w:t>
      </w:r>
      <w:r>
        <w:rPr>
          <w:rFonts w:ascii="Times New Roman;Times;serif" w:hAnsi="Times New Roman;Times;serif"/>
          <w:b/>
          <w:color w:val="000000"/>
          <w:sz w:val="24"/>
          <w:u w:val="single"/>
        </w:rPr>
        <w:t>Severability</w:t>
      </w:r>
      <w:r>
        <w:rPr>
          <w:rFonts w:ascii="Times New Roman;Times;serif" w:hAnsi="Times New Roman;Times;serif"/>
          <w:color w:val="000000"/>
          <w:sz w:val="24"/>
        </w:rPr>
        <w:t>.   The parties hereto intend that each provision of this Promissory Note comports with all applicable local, state and federal laws and judicial decisions. However, if any provision or any portion of any provision contained in this Promissory Note is held by a court of law to be invalid, illegal, unlawful, void or unenforceable as written in any respect, then it is the intent of all parties hereto that such portion or provision shall be given force to the fullest possible extent that it is legal, valid and enforceable, that the remainder of this Promissory Note shall be construed as if such illegal, invalid, unlawful, void or unenforceable portion or provision was not contained therein, and the rights, obligations and interests of Borrower and Lender under the remainder of this Promissory Note shall continue in full force and effect.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17.</w:t>
      </w:r>
      <w:r>
        <w:rPr>
          <w:rFonts w:ascii="Times New Roman;Times;serif" w:hAnsi="Times New Roman;Times;serif"/>
          <w:color w:val="000000"/>
          <w:sz w:val="20"/>
        </w:rPr>
        <w:t> </w:t>
      </w:r>
      <w:r>
        <w:rPr>
          <w:rFonts w:ascii="Times New Roman;Times;serif" w:hAnsi="Times New Roman;Times;serif"/>
          <w:b/>
          <w:color w:val="000000"/>
          <w:sz w:val="24"/>
          <w:u w:val="single"/>
        </w:rPr>
        <w:t>Successors and Assigns</w:t>
      </w:r>
      <w:r>
        <w:rPr>
          <w:rFonts w:ascii="Times New Roman;Times;serif" w:hAnsi="Times New Roman;Times;serif"/>
          <w:color w:val="000000"/>
          <w:sz w:val="24"/>
        </w:rPr>
        <w:t>.  The provisions of this Promissory Note shall be binding upon Borrower and its successors and assigns and shall inure to the benefit of any Lender and its successors and assigns. As used herein the words “</w:t>
      </w:r>
      <w:r>
        <w:rPr>
          <w:rFonts w:ascii="Times New Roman;Times;serif" w:hAnsi="Times New Roman;Times;serif"/>
          <w:b/>
          <w:color w:val="000000"/>
          <w:sz w:val="24"/>
          <w:u w:val="single"/>
        </w:rPr>
        <w:t>successors and assigns</w:t>
      </w:r>
      <w:r>
        <w:rPr>
          <w:rFonts w:ascii="Times New Roman;Times;serif" w:hAnsi="Times New Roman;Times;serif"/>
          <w:color w:val="000000"/>
          <w:sz w:val="24"/>
        </w:rPr>
        <w:t>” shall also be deemed to include the heirs, representatives, administrators and executors of any natural person who is a party to this Promissory Note.</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18.</w:t>
      </w:r>
      <w:r>
        <w:rPr>
          <w:rFonts w:ascii="Times New Roman;Times;serif" w:hAnsi="Times New Roman;Times;serif"/>
          <w:color w:val="000000"/>
          <w:sz w:val="20"/>
        </w:rPr>
        <w:t> </w:t>
      </w:r>
      <w:r>
        <w:rPr>
          <w:rFonts w:ascii="Times New Roman;Times;serif" w:hAnsi="Times New Roman;Times;serif"/>
          <w:b/>
          <w:color w:val="000000"/>
          <w:sz w:val="24"/>
          <w:u w:val="single"/>
        </w:rPr>
        <w:t>Remedies Cumulative</w:t>
      </w:r>
      <w:r>
        <w:rPr>
          <w:rFonts w:ascii="Times New Roman;Times;serif" w:hAnsi="Times New Roman;Times;serif"/>
          <w:color w:val="000000"/>
          <w:sz w:val="24"/>
        </w:rPr>
        <w:t>.   The remedies of Lender as provided in this Promissory Note shall be cumulative and concurrent, may be pursued singly, successively or together at the sole discretion of Lender, may be exercised as often as occasion for their exercise shall occur and in no event shall the failure to exercise any such right or remedy be construed as a waiver or release of such right or remedy. No remedy under this Promissory Note conferred upon or reserved to Lender is intended to be exclusive of any other remedy provided in this Promissory Note or provided by law, but each shall be cumulative and shall be in addition to every other remedy given under this Promissory Note or now or hereafter existing at law or in equity or by statute.</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19.</w:t>
      </w:r>
      <w:r>
        <w:rPr>
          <w:rFonts w:ascii="Times New Roman;Times;serif" w:hAnsi="Times New Roman;Times;serif"/>
          <w:color w:val="000000"/>
          <w:sz w:val="20"/>
        </w:rPr>
        <w:t> </w:t>
      </w:r>
      <w:r>
        <w:rPr>
          <w:rFonts w:ascii="Times New Roman;Times;serif" w:hAnsi="Times New Roman;Times;serif"/>
          <w:b/>
          <w:color w:val="000000"/>
          <w:sz w:val="24"/>
          <w:u w:val="single"/>
        </w:rPr>
        <w:t>No Oral Modification</w:t>
      </w:r>
      <w:r>
        <w:rPr>
          <w:rFonts w:ascii="Times New Roman;Times;serif" w:hAnsi="Times New Roman;Times;serif"/>
          <w:color w:val="000000"/>
          <w:sz w:val="24"/>
        </w:rPr>
        <w:t>.  This Promissory Note may not be modified or discharged orally, but only by an agreement in writing signed by Lender and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20.</w:t>
      </w:r>
      <w:r>
        <w:rPr>
          <w:rFonts w:ascii="Times New Roman;Times;serif" w:hAnsi="Times New Roman;Times;serif"/>
          <w:color w:val="000000"/>
          <w:sz w:val="20"/>
        </w:rPr>
        <w:t> </w:t>
      </w:r>
      <w:r>
        <w:rPr>
          <w:rFonts w:ascii="Times New Roman;Times;serif" w:hAnsi="Times New Roman;Times;serif"/>
          <w:b/>
          <w:color w:val="000000"/>
          <w:sz w:val="24"/>
          <w:u w:val="single"/>
        </w:rPr>
        <w:t>Transfer of Promissory Note</w:t>
      </w:r>
      <w:r>
        <w:rPr>
          <w:rFonts w:ascii="Times New Roman;Times;serif" w:hAnsi="Times New Roman;Times;serif"/>
          <w:color w:val="000000"/>
          <w:sz w:val="24"/>
        </w:rPr>
        <w:t>.  Lender may, at any time, sell, transfer or assign this Promissory Note.</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21.</w:t>
      </w:r>
      <w:r>
        <w:rPr>
          <w:rFonts w:ascii="Times New Roman;Times;serif" w:hAnsi="Times New Roman;Times;serif"/>
          <w:color w:val="000000"/>
          <w:sz w:val="20"/>
        </w:rPr>
        <w:t> </w:t>
      </w:r>
      <w:r>
        <w:rPr>
          <w:rFonts w:ascii="Times New Roman;Times;serif" w:hAnsi="Times New Roman;Times;serif"/>
          <w:b/>
          <w:color w:val="000000"/>
          <w:sz w:val="24"/>
          <w:u w:val="single"/>
        </w:rPr>
        <w:t>Joint and Several Liability</w:t>
      </w:r>
      <w:r>
        <w:rPr>
          <w:rFonts w:ascii="Times New Roman;Times;serif" w:hAnsi="Times New Roman;Times;serif"/>
          <w:color w:val="000000"/>
          <w:sz w:val="24"/>
        </w:rPr>
        <w:t>.   In the event that this Promissory Note is made by more than one Borrower, the promises and agreements herein shall be construed to be and are hereby declared to be the joint and several promises and agreements of all Borrowers and shall constitute the joint and several obligations of each of Borrowers and shall be fully binding upon and enforceable against each of Borrowers. Neither the death nor release of any person or party to this Promissory Note shall affect or release the joint and several liability of any other person or party. Lender may at its option enforce this Promissory Note against one or all of Borrowers, and Lender shall not be required to resort to enforcement against each of Borrowers and the failure to proceed against or join any Borrower shall not affect the joint and several liability of any other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22.</w:t>
      </w:r>
      <w:r>
        <w:rPr>
          <w:rFonts w:ascii="Times New Roman;Times;serif" w:hAnsi="Times New Roman;Times;serif"/>
          <w:color w:val="000000"/>
          <w:sz w:val="20"/>
        </w:rPr>
        <w:t> </w:t>
      </w:r>
      <w:r>
        <w:rPr>
          <w:rFonts w:ascii="Times New Roman;Times;serif" w:hAnsi="Times New Roman;Times;serif"/>
          <w:b/>
          <w:color w:val="000000"/>
          <w:sz w:val="24"/>
          <w:u w:val="single"/>
        </w:rPr>
        <w:t>WAIVER OF JURY TRIAL</w:t>
      </w:r>
      <w:r>
        <w:rPr>
          <w:rFonts w:ascii="Times New Roman;Times;serif" w:hAnsi="Times New Roman;Times;serif"/>
          <w:color w:val="000000"/>
          <w:sz w:val="24"/>
        </w:rPr>
        <w:t>.   LENDER BY ITS ACCEPTANCE HEREOF AND BORROWER HEREBY VOLUNTARILY, KNOWINGLY AND INTENTIONALLY WAIVE ANY AND ALL RIGHTS TO TRIAL BY JURY IN ANY LEGAL ACTION OR PROCEEDING ARISING UNDER THIS PROMISSORY NOTE, REGARDLESS OF WHETHER SUCH ACTION OR PROCEEDING CONCERNS ANY CONTRACTUAL OR TORTIOUS OR OTHER CLAIM. BORROWER ACKNOWLEDGES THAT THIS WAIVER OF JURY TRIAL IS A MATERIAL INDUCEMENT TO LENDER IN EXTENDING CREDIT TO BORROWER, THAT LENDER WOULD NOT HAVE EXTENDED SUCH CREDIT WITHOUT THIS JURY TRIAL WAIVER, AND THAT BORROWER HAS BEEN REPRESENTED BY AN ATTORNEY OR HAS HAD AN OPPORTUNITY TO CONSULT WITH AN ATTORNEY IN CONNECTION WITH THIS JURY TRIAL WAIVER AND UNDERSTANDS THE LEGAL EFFECT OF THIS WAIVER.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23.</w:t>
      </w:r>
      <w:r>
        <w:rPr>
          <w:rFonts w:ascii="Times New Roman;Times;serif" w:hAnsi="Times New Roman;Times;serif"/>
          <w:color w:val="000000"/>
          <w:sz w:val="20"/>
        </w:rPr>
        <w:t> </w:t>
      </w:r>
      <w:r>
        <w:rPr>
          <w:rFonts w:ascii="Times New Roman;Times;serif" w:hAnsi="Times New Roman;Times;serif"/>
          <w:b/>
          <w:color w:val="000000"/>
          <w:sz w:val="24"/>
          <w:u w:val="single"/>
        </w:rPr>
        <w:t>Headings</w:t>
      </w:r>
      <w:r>
        <w:rPr>
          <w:rFonts w:ascii="Times New Roman;Times;serif" w:hAnsi="Times New Roman;Times;serif"/>
          <w:color w:val="000000"/>
          <w:sz w:val="24"/>
        </w:rPr>
        <w:t>.   The headings or captions contained in this Promissory Note are solely for convenience of reference and shall not affect its interpretation.</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240" w:after="283"/>
        <w:jc w:val="center"/>
        <w:rPr>
          <w:rFonts w:ascii="Times New Roman;Times;serif" w:hAnsi="Times New Roman;Times;serif"/>
          <w:i/>
          <w:color w:val="000000"/>
          <w:sz w:val="24"/>
        </w:rPr>
      </w:pPr>
      <w:r>
        <w:rPr>
          <w:rFonts w:ascii="Times New Roman;Times;serif" w:hAnsi="Times New Roman;Times;serif"/>
          <w:i/>
          <w:color w:val="000000"/>
          <w:sz w:val="24"/>
        </w:rPr>
        <w:t>[The remainder of this page is intentionally left blank.]</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160"/>
        <w:jc w:val="left"/>
        <w:rPr/>
      </w:pPr>
      <w:r>
        <w:rPr/>
      </w:r>
    </w:p>
    <w:p>
      <w:pPr>
        <w:pStyle w:val="TextBody"/>
        <w:bidi w:val="0"/>
        <w:spacing w:before="0" w:after="0"/>
        <w:ind w:left="0" w:right="0" w:firstLine="857"/>
        <w:jc w:val="left"/>
        <w:rPr>
          <w:rFonts w:ascii="Times New Roman;Times;serif" w:hAnsi="Times New Roman;Times;serif"/>
          <w:color w:val="000000"/>
          <w:sz w:val="24"/>
        </w:rPr>
      </w:pPr>
      <w:r>
        <w:rPr>
          <w:rFonts w:ascii="Times New Roman;Times;serif" w:hAnsi="Times New Roman;Times;serif"/>
          <w:b/>
          <w:color w:val="000000"/>
          <w:sz w:val="24"/>
        </w:rPr>
        <w:t>IN WITNESS WHEREOF</w:t>
      </w:r>
      <w:r>
        <w:rPr>
          <w:rFonts w:ascii="Times New Roman;Times;serif" w:hAnsi="Times New Roman;Times;serif"/>
          <w:color w:val="000000"/>
          <w:sz w:val="24"/>
        </w:rPr>
        <w:t>, Borrower has executed this Promissory Note as of the date and year first above written.</w:t>
      </w:r>
    </w:p>
    <w:p>
      <w:pPr>
        <w:pStyle w:val="TextBody"/>
        <w:bidi w:val="0"/>
        <w:spacing w:before="0" w:after="0"/>
        <w:ind w:left="0" w:right="0" w:firstLine="857"/>
        <w:jc w:val="left"/>
        <w:rPr>
          <w:sz w:val="24"/>
        </w:rPr>
      </w:pPr>
      <w:r>
        <w:rPr>
          <w:sz w:val="24"/>
        </w:rPr>
      </w:r>
    </w:p>
    <w:p>
      <w:pPr>
        <w:pStyle w:val="TextBody"/>
        <w:bidi w:val="0"/>
        <w:spacing w:before="0" w:after="0"/>
        <w:ind w:left="0" w:right="0" w:firstLine="857"/>
        <w:jc w:val="left"/>
        <w:rPr>
          <w:sz w:val="24"/>
        </w:rPr>
      </w:pPr>
      <w:r>
        <w:rPr>
          <w:sz w:val="24"/>
        </w:rPr>
      </w:r>
    </w:p>
    <w:tbl>
      <w:tblPr>
        <w:tblW w:w="3710" w:type="dxa"/>
        <w:jc w:val="left"/>
        <w:tblInd w:w="0" w:type="dxa"/>
        <w:tblLayout w:type="fixed"/>
        <w:tblCellMar>
          <w:top w:w="0" w:type="dxa"/>
          <w:left w:w="0" w:type="dxa"/>
          <w:bottom w:w="0" w:type="dxa"/>
          <w:right w:w="0" w:type="dxa"/>
        </w:tblCellMar>
      </w:tblPr>
      <w:tblGrid>
        <w:gridCol w:w="60"/>
        <w:gridCol w:w="3650"/>
      </w:tblGrid>
      <w:tr>
        <w:trPr/>
        <w:tc>
          <w:tcPr>
            <w:tcW w:w="6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r>
              <w:rPr>
                <w:b/>
                <w:sz w:val="24"/>
              </w:rPr>
              <w:t>MATANA VENTURES, LLC.</w:t>
            </w:r>
          </w:p>
        </w:tc>
      </w:tr>
      <w:tr>
        <w:trPr/>
        <w:tc>
          <w:tcPr>
            <w:tcW w:w="6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r>
              <w:rPr>
                <w:sz w:val="24"/>
              </w:rPr>
              <w:t>a Florida Limited Liability Company</w:t>
            </w:r>
          </w:p>
          <w:p>
            <w:pPr>
              <w:pStyle w:val="TableContents"/>
              <w:bidi w:val="0"/>
              <w:spacing w:before="0" w:after="0"/>
              <w:jc w:val="left"/>
              <w:rPr/>
            </w:pPr>
            <w:r>
              <w:rPr/>
            </w:r>
          </w:p>
          <w:p>
            <w:pPr>
              <w:pStyle w:val="TableContents"/>
              <w:bidi w:val="0"/>
              <w:spacing w:before="0" w:after="0"/>
              <w:jc w:val="left"/>
              <w:rPr/>
            </w:pPr>
            <w:r>
              <w:rPr/>
            </w:r>
          </w:p>
        </w:tc>
      </w:tr>
      <w:tr>
        <w:trPr/>
        <w:tc>
          <w:tcPr>
            <w:tcW w:w="6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r>
              <w:rPr>
                <w:sz w:val="24"/>
              </w:rPr>
              <w:t>By: ________________________</w:t>
            </w:r>
          </w:p>
        </w:tc>
      </w:tr>
      <w:tr>
        <w:trPr/>
        <w:tc>
          <w:tcPr>
            <w:tcW w:w="6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r>
              <w:rPr>
                <w:b/>
                <w:sz w:val="24"/>
              </w:rPr>
              <w:t>BILL WING CHUN LUI</w:t>
            </w:r>
            <w:r>
              <w:rPr/>
              <w:t xml:space="preserve">, </w:t>
            </w:r>
            <w:r>
              <w:rPr>
                <w:sz w:val="24"/>
              </w:rPr>
              <w:t>Manager</w:t>
            </w:r>
          </w:p>
        </w:tc>
      </w:tr>
    </w:tbl>
    <w:p>
      <w:pPr>
        <w:pStyle w:val="TextBody"/>
        <w:bidi w:val="0"/>
        <w:spacing w:before="0" w:after="0"/>
        <w:ind w:left="0" w:right="0" w:firstLine="857"/>
        <w:jc w:val="left"/>
        <w:rPr/>
      </w:pPr>
      <w:r>
        <w:rPr/>
      </w:r>
    </w:p>
    <w:p>
      <w:pPr>
        <w:pStyle w:val="TextBody"/>
        <w:bidi w:val="0"/>
        <w:spacing w:before="0" w:after="0"/>
        <w:jc w:val="left"/>
        <w:rPr/>
      </w:pPr>
      <w:r>
        <w:rPr/>
      </w:r>
    </w:p>
    <w:p>
      <w:pPr>
        <w:pStyle w:val="TextBody"/>
        <w:bidi w:val="0"/>
        <w:jc w:val="left"/>
        <w:rPr>
          <w:color w:val="000000"/>
        </w:rPr>
      </w:pPr>
      <w:r>
        <w:rPr>
          <w:color w:val="000000"/>
        </w:rPr>
        <w:t> </w:t>
      </w:r>
    </w:p>
    <w:p>
      <w:pPr>
        <w:pStyle w:val="TextBody"/>
        <w:bidi w:val="0"/>
        <w:spacing w:before="240" w:after="283"/>
        <w:ind w:left="0" w:right="0" w:firstLine="720"/>
        <w:jc w:val="right"/>
        <w:rPr>
          <w:rFonts w:ascii="Times New Roman;Times;serif" w:hAnsi="Times New Roman;Times;serif"/>
          <w:b/>
          <w:i/>
          <w:color w:val="000000"/>
          <w:sz w:val="24"/>
        </w:rPr>
      </w:pPr>
      <w:bookmarkStart w:id="18" w:name="exhibit4-3.htm"/>
      <w:bookmarkStart w:id="19" w:name="ksexhibit43"/>
      <w:bookmarkEnd w:id="18"/>
      <w:bookmarkEnd w:id="19"/>
      <w:r>
        <w:rPr>
          <w:rFonts w:ascii="Times New Roman;Times;serif" w:hAnsi="Times New Roman;Times;serif"/>
          <w:b/>
          <w:i/>
          <w:color w:val="000000"/>
          <w:sz w:val="24"/>
        </w:rPr>
        <w:t>Exhibit 4.3</w:t>
      </w:r>
      <w:r>
        <w:br w:type="page"/>
      </w:r>
    </w:p>
    <w:p>
      <w:pPr>
        <w:pStyle w:val="TextBody"/>
        <w:bidi w:val="0"/>
        <w:spacing w:before="240" w:after="283"/>
        <w:jc w:val="left"/>
        <w:rPr/>
      </w:pPr>
      <w:r>
        <w:rPr/>
      </w:r>
    </w:p>
    <w:p>
      <w:pPr>
        <w:pStyle w:val="TextBody"/>
        <w:bidi w:val="0"/>
        <w:spacing w:before="120" w:after="283"/>
        <w:ind w:left="0" w:right="0" w:firstLine="720"/>
        <w:jc w:val="center"/>
        <w:rPr>
          <w:rFonts w:ascii="Times New Roman;Times;serif" w:hAnsi="Times New Roman;Times;serif"/>
          <w:b/>
          <w:color w:val="000000"/>
          <w:sz w:val="24"/>
        </w:rPr>
      </w:pPr>
      <w:r>
        <w:rPr>
          <w:rFonts w:ascii="Times New Roman;Times;serif" w:hAnsi="Times New Roman;Times;serif"/>
          <w:b/>
          <w:color w:val="000000"/>
          <w:sz w:val="24"/>
        </w:rPr>
        <w:t>STOCK PURCHASE AGREEMENT</w:t>
      </w:r>
    </w:p>
    <w:p>
      <w:pPr>
        <w:pStyle w:val="TextBody"/>
        <w:bidi w:val="0"/>
        <w:spacing w:before="240" w:after="283"/>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THIS STOCK PURCHASE AGREEMENT (this “</w:t>
      </w:r>
      <w:r>
        <w:rPr>
          <w:rFonts w:ascii="Times New Roman;Times;serif" w:hAnsi="Times New Roman;Times;serif"/>
          <w:color w:val="000000"/>
          <w:sz w:val="24"/>
          <w:u w:val="single"/>
        </w:rPr>
        <w:t>Agreement</w:t>
      </w:r>
      <w:r>
        <w:rPr>
          <w:rFonts w:ascii="Times New Roman;Times;serif" w:hAnsi="Times New Roman;Times;serif"/>
          <w:color w:val="000000"/>
          <w:sz w:val="24"/>
        </w:rPr>
        <w:t xml:space="preserve">”) is made and entered into as of </w:t>
      </w:r>
      <w:r>
        <w:rPr>
          <w:rFonts w:ascii="Times New Roman;Times;serif" w:hAnsi="Times New Roman;Times;serif"/>
          <w:b/>
          <w:color w:val="000000"/>
          <w:sz w:val="24"/>
        </w:rPr>
        <w:t>October 10, 2024</w:t>
      </w:r>
      <w:r>
        <w:rPr>
          <w:rFonts w:ascii="Times New Roman;Times;serif" w:hAnsi="Times New Roman;Times;serif"/>
          <w:color w:val="000000"/>
          <w:sz w:val="24"/>
        </w:rPr>
        <w:t xml:space="preserve">, by and between </w:t>
      </w:r>
      <w:r>
        <w:rPr>
          <w:rFonts w:ascii="Times New Roman;Times;serif" w:hAnsi="Times New Roman;Times;serif"/>
          <w:b/>
          <w:color w:val="000000"/>
          <w:sz w:val="24"/>
        </w:rPr>
        <w:t>PARNAS HILLS, LLC</w:t>
      </w:r>
      <w:r>
        <w:rPr>
          <w:rFonts w:ascii="Times New Roman;Times;serif" w:hAnsi="Times New Roman;Times;serif"/>
          <w:color w:val="000000"/>
          <w:sz w:val="24"/>
        </w:rPr>
        <w:t>.</w:t>
      </w:r>
      <w:r>
        <w:rPr>
          <w:rFonts w:ascii="Times New Roman;Times;serif" w:hAnsi="Times New Roman;Times;serif"/>
          <w:color w:val="000000"/>
          <w:sz w:val="24"/>
          <w:u w:val="single"/>
        </w:rPr>
        <w:t>,</w:t>
      </w:r>
      <w:r>
        <w:rPr>
          <w:rFonts w:ascii="Times New Roman;Times;serif" w:hAnsi="Times New Roman;Times;serif"/>
          <w:color w:val="000000"/>
          <w:sz w:val="24"/>
        </w:rPr>
        <w:t xml:space="preserve"> a Florida limited liability company (the "</w:t>
      </w:r>
      <w:r>
        <w:rPr>
          <w:rFonts w:ascii="Times New Roman;Times;serif" w:hAnsi="Times New Roman;Times;serif"/>
          <w:color w:val="000000"/>
          <w:sz w:val="24"/>
          <w:u w:val="single"/>
        </w:rPr>
        <w:t>Buyer</w:t>
      </w:r>
      <w:r>
        <w:rPr>
          <w:rFonts w:ascii="Times New Roman;Times;serif" w:hAnsi="Times New Roman;Times;serif"/>
          <w:color w:val="000000"/>
          <w:sz w:val="24"/>
        </w:rPr>
        <w:t>"), and LIQUIDMETAL TECHNOLOGY LIMITED, a Hong Kong company (the “</w:t>
      </w:r>
      <w:r>
        <w:rPr>
          <w:rFonts w:ascii="Times New Roman;Times;serif" w:hAnsi="Times New Roman;Times;serif"/>
          <w:color w:val="000000"/>
          <w:sz w:val="24"/>
          <w:u w:val="single"/>
        </w:rPr>
        <w:t>Seller</w:t>
      </w:r>
      <w:r>
        <w:rPr>
          <w:rFonts w:ascii="Times New Roman;Times;serif" w:hAnsi="Times New Roman;Times;serif"/>
          <w:color w:val="000000"/>
          <w:sz w:val="24"/>
        </w:rPr>
        <w:t>”).</w:t>
      </w:r>
    </w:p>
    <w:p>
      <w:pPr>
        <w:pStyle w:val="TextBody"/>
        <w:bidi w:val="0"/>
        <w:spacing w:before="0" w:after="0"/>
        <w:jc w:val="left"/>
        <w:rPr/>
      </w:pPr>
      <w:r>
        <w:rPr/>
      </w:r>
    </w:p>
    <w:p>
      <w:pPr>
        <w:pStyle w:val="TextBody"/>
        <w:bidi w:val="0"/>
        <w:spacing w:before="0" w:after="0"/>
        <w:ind w:left="0" w:right="0" w:firstLine="720"/>
        <w:jc w:val="center"/>
        <w:rPr>
          <w:rFonts w:ascii="Times New Roman;Times;serif" w:hAnsi="Times New Roman;Times;serif"/>
          <w:color w:val="000000"/>
          <w:sz w:val="24"/>
          <w:u w:val="single"/>
        </w:rPr>
      </w:pPr>
      <w:r>
        <w:rPr>
          <w:rFonts w:ascii="Times New Roman;Times;serif" w:hAnsi="Times New Roman;Times;serif"/>
          <w:color w:val="000000"/>
          <w:sz w:val="24"/>
          <w:u w:val="single"/>
        </w:rPr>
        <w:t>RECITALS:</w:t>
      </w:r>
    </w:p>
    <w:p>
      <w:pPr>
        <w:pStyle w:val="TextBody"/>
        <w:bidi w:val="0"/>
        <w:spacing w:before="240" w:after="283"/>
        <w:ind w:left="0" w:right="0" w:hanging="0"/>
        <w:jc w:val="both"/>
        <w:rPr>
          <w:rFonts w:ascii="Times New Roman;Times;serif" w:hAnsi="Times New Roman;Times;serif"/>
          <w:color w:val="000000"/>
          <w:sz w:val="20"/>
        </w:rPr>
      </w:pPr>
      <w:r>
        <w:rPr>
          <w:rFonts w:ascii="Times New Roman;Times;serif" w:hAnsi="Times New Roman;Times;serif"/>
          <w:color w:val="000000"/>
          <w:sz w:val="24"/>
        </w:rPr>
        <w:t>A.</w:t>
      </w:r>
      <w:r>
        <w:rPr>
          <w:rFonts w:ascii="Times New Roman;Times;serif" w:hAnsi="Times New Roman;Times;serif"/>
          <w:color w:val="000000"/>
          <w:sz w:val="20"/>
        </w:rPr>
        <w:t> </w:t>
      </w:r>
      <w:r>
        <w:rPr>
          <w:rFonts w:ascii="Times New Roman;Times;serif" w:hAnsi="Times New Roman;Times;serif"/>
          <w:color w:val="000000"/>
          <w:sz w:val="24"/>
        </w:rPr>
        <w:t xml:space="preserve">The Seller desires to sell to the Buyer, and the Buyer desires to purchase from the Seller, </w:t>
      </w:r>
      <w:r>
        <w:rPr>
          <w:rFonts w:ascii="Times New Roman;Times;serif" w:hAnsi="Times New Roman;Times;serif"/>
          <w:b/>
          <w:color w:val="000000"/>
          <w:sz w:val="24"/>
        </w:rPr>
        <w:t>Forty-Four Million Nine Hundred Forty-Six Thousand Nine Hundred and Seventy-Two (44,946,972) shares</w:t>
      </w:r>
      <w:r>
        <w:rPr>
          <w:rFonts w:ascii="Times New Roman;Times;serif" w:hAnsi="Times New Roman;Times;serif"/>
          <w:color w:val="000000"/>
          <w:sz w:val="24"/>
        </w:rPr>
        <w:t xml:space="preserve"> (collectively, the “</w:t>
      </w:r>
      <w:r>
        <w:rPr>
          <w:rFonts w:ascii="Times New Roman;Times;serif" w:hAnsi="Times New Roman;Times;serif"/>
          <w:color w:val="000000"/>
          <w:sz w:val="24"/>
          <w:u w:val="single"/>
        </w:rPr>
        <w:t>Shares</w:t>
      </w:r>
      <w:r>
        <w:rPr>
          <w:rFonts w:ascii="Times New Roman;Times;serif" w:hAnsi="Times New Roman;Times;serif"/>
          <w:color w:val="000000"/>
          <w:sz w:val="24"/>
        </w:rPr>
        <w:t>”) of the common stock, par value $0.001 per share, of Liquidmetal Technologies, Inc., a Delaware corporation (the “</w:t>
      </w:r>
      <w:r>
        <w:rPr>
          <w:rFonts w:ascii="Times New Roman;Times;serif" w:hAnsi="Times New Roman;Times;serif"/>
          <w:color w:val="000000"/>
          <w:sz w:val="24"/>
          <w:u w:val="single"/>
        </w:rPr>
        <w:t>Company</w:t>
      </w:r>
      <w:r>
        <w:rPr>
          <w:rFonts w:ascii="Times New Roman;Times;serif" w:hAnsi="Times New Roman;Times;serif"/>
          <w:color w:val="000000"/>
          <w:sz w:val="24"/>
        </w:rPr>
        <w:t>”), held by the Seller.</w:t>
      </w:r>
    </w:p>
    <w:p>
      <w:pPr>
        <w:pStyle w:val="TextBody"/>
        <w:bidi w:val="0"/>
        <w:spacing w:before="240" w:after="283"/>
        <w:ind w:left="0" w:right="0" w:hanging="0"/>
        <w:jc w:val="both"/>
        <w:rPr>
          <w:rFonts w:ascii="Times New Roman;Times;serif" w:hAnsi="Times New Roman;Times;serif"/>
          <w:color w:val="000000"/>
          <w:sz w:val="20"/>
        </w:rPr>
      </w:pPr>
      <w:r>
        <w:rPr>
          <w:rFonts w:ascii="Times New Roman;Times;serif" w:hAnsi="Times New Roman;Times;serif"/>
          <w:color w:val="000000"/>
          <w:sz w:val="24"/>
        </w:rPr>
        <w:t>B.</w:t>
      </w:r>
      <w:r>
        <w:rPr>
          <w:rFonts w:ascii="Times New Roman;Times;serif" w:hAnsi="Times New Roman;Times;serif"/>
          <w:color w:val="000000"/>
          <w:sz w:val="20"/>
        </w:rPr>
        <w:t> </w:t>
      </w:r>
      <w:r>
        <w:rPr>
          <w:rFonts w:ascii="Times New Roman;Times;serif" w:hAnsi="Times New Roman;Times;serif"/>
          <w:color w:val="000000"/>
          <w:sz w:val="24"/>
        </w:rPr>
        <w:t>The Seller and Buyer desire to consummate the purchase and sale of the Shares upon the terms and conditions set forth in this Agreement.</w:t>
      </w:r>
    </w:p>
    <w:p>
      <w:pPr>
        <w:pStyle w:val="TextBody"/>
        <w:bidi w:val="0"/>
        <w:spacing w:before="240" w:after="283"/>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Now, therefore, in consideration of the foregoing recitals and the terms, covenants, and agreements set forth herein, the parties hereto agree as follows:</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1.</w:t>
        <w:br/>
      </w:r>
      <w:r>
        <w:rPr>
          <w:rFonts w:ascii="Times New Roman;Times;serif" w:hAnsi="Times New Roman;Times;serif"/>
          <w:color w:val="000000"/>
          <w:sz w:val="24"/>
          <w:u w:val="single"/>
        </w:rPr>
        <w:t>Purchase and Sale of Shares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1.1</w:t>
      </w:r>
      <w:r>
        <w:rPr>
          <w:rFonts w:ascii="Times New Roman;Times;serif" w:hAnsi="Times New Roman;Times;serif"/>
          <w:color w:val="000000"/>
          <w:sz w:val="20"/>
        </w:rPr>
        <w:t> </w:t>
      </w:r>
      <w:r>
        <w:rPr>
          <w:rFonts w:ascii="Times New Roman;Times;serif" w:hAnsi="Times New Roman;Times;serif"/>
          <w:color w:val="000000"/>
          <w:sz w:val="24"/>
          <w:u w:val="single"/>
        </w:rPr>
        <w:t>Sale of Shares</w:t>
      </w:r>
      <w:r>
        <w:rPr>
          <w:rFonts w:ascii="Times New Roman;Times;serif" w:hAnsi="Times New Roman;Times;serif"/>
          <w:color w:val="000000"/>
          <w:sz w:val="24"/>
        </w:rPr>
        <w:t>.  At the Closing (as defined below), the Seller shall sell to the Buyer, and the Buyer shall purchase from the Seller, the Shares, free and clear of all liens, claims, and encumbrances.  The purchase price for the Shares (the “</w:t>
      </w:r>
      <w:r>
        <w:rPr>
          <w:rFonts w:ascii="Times New Roman;Times;serif" w:hAnsi="Times New Roman;Times;serif"/>
          <w:color w:val="000000"/>
          <w:sz w:val="24"/>
          <w:u w:val="single"/>
        </w:rPr>
        <w:t>Purchase Price</w:t>
      </w:r>
      <w:r>
        <w:rPr>
          <w:rFonts w:ascii="Times New Roman;Times;serif" w:hAnsi="Times New Roman;Times;serif"/>
          <w:color w:val="000000"/>
          <w:sz w:val="24"/>
        </w:rPr>
        <w:t xml:space="preserve">”) will be an amount equal to </w:t>
      </w:r>
      <w:r>
        <w:rPr>
          <w:rFonts w:ascii="Times New Roman;Times;serif" w:hAnsi="Times New Roman;Times;serif"/>
          <w:b/>
          <w:color w:val="000000"/>
          <w:sz w:val="24"/>
        </w:rPr>
        <w:t>U.S. Dollars 0.16 (USD).</w:t>
      </w:r>
      <w:r>
        <w:rPr>
          <w:rFonts w:ascii="Times New Roman;Times;serif" w:hAnsi="Times New Roman;Times;serif"/>
          <w:color w:val="000000"/>
          <w:sz w:val="24"/>
        </w:rPr>
        <w:t xml:space="preserve">  The aggregate Purchase Price for the Shares will be paid by the execution and delivery of a promissory note in substantially the form set forth as </w:t>
      </w:r>
      <w:r>
        <w:rPr>
          <w:rFonts w:ascii="Times New Roman;Times;serif" w:hAnsi="Times New Roman;Times;serif"/>
          <w:color w:val="000000"/>
          <w:sz w:val="24"/>
          <w:u w:val="single"/>
        </w:rPr>
        <w:t>Exhibit A</w:t>
      </w:r>
      <w:r>
        <w:rPr>
          <w:rFonts w:ascii="Times New Roman;Times;serif" w:hAnsi="Times New Roman;Times;serif"/>
          <w:color w:val="000000"/>
          <w:sz w:val="24"/>
        </w:rPr>
        <w:t xml:space="preserve"> hereto (the “</w:t>
      </w:r>
      <w:r>
        <w:rPr>
          <w:rFonts w:ascii="Times New Roman;Times;serif" w:hAnsi="Times New Roman;Times;serif"/>
          <w:color w:val="000000"/>
          <w:sz w:val="24"/>
          <w:u w:val="single"/>
        </w:rPr>
        <w:t>Purchase Note</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1.2</w:t>
      </w:r>
      <w:r>
        <w:rPr>
          <w:rFonts w:ascii="Times New Roman;Times;serif" w:hAnsi="Times New Roman;Times;serif"/>
          <w:color w:val="000000"/>
          <w:sz w:val="20"/>
        </w:rPr>
        <w:t> </w:t>
      </w:r>
      <w:r>
        <w:rPr>
          <w:rFonts w:ascii="Times New Roman;Times;serif" w:hAnsi="Times New Roman;Times;serif"/>
          <w:color w:val="000000"/>
          <w:sz w:val="24"/>
          <w:u w:val="single"/>
        </w:rPr>
        <w:t>Closing</w:t>
      </w:r>
      <w:r>
        <w:rPr>
          <w:rFonts w:ascii="Times New Roman;Times;serif" w:hAnsi="Times New Roman;Times;serif"/>
          <w:color w:val="000000"/>
          <w:sz w:val="24"/>
        </w:rPr>
        <w:t>.  The purchase and sale of the Shares by the Buyer (the “</w:t>
      </w:r>
      <w:r>
        <w:rPr>
          <w:rFonts w:ascii="Times New Roman;Times;serif" w:hAnsi="Times New Roman;Times;serif"/>
          <w:color w:val="000000"/>
          <w:sz w:val="24"/>
          <w:u w:val="single"/>
        </w:rPr>
        <w:t>Closing</w:t>
      </w:r>
      <w:r>
        <w:rPr>
          <w:rFonts w:ascii="Times New Roman;Times;serif" w:hAnsi="Times New Roman;Times;serif"/>
          <w:color w:val="000000"/>
          <w:sz w:val="24"/>
        </w:rPr>
        <w:t>”) shall take place remotely via the exchange of documents and signatures on the date of this Agreement or on such other date as is mutually agreed upon by the Company and the Purchasers.  At the Closing, the Seller shall deliver or cause to be delivered to the Buyer certificates (or evidence of book entry) representing the Shares, duly endorsed for transfer to the Buyer or accompanied by duly executed stock powers, and the Buyer shall execute and deliver the Purchase Note to Buyer.</w:t>
      </w:r>
    </w:p>
    <w:p>
      <w:pPr>
        <w:pStyle w:val="HorizontalLine"/>
        <w:pBdr>
          <w:bottom w:val="single" w:sz="12" w:space="0" w:color="808080"/>
        </w:pBdr>
        <w:bidi w:val="0"/>
        <w:spacing w:before="200" w:after="200"/>
        <w:jc w:val="left"/>
        <w:rPr/>
      </w:pPr>
      <w:r>
        <w:rPr/>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2.</w:t>
        <w:br/>
      </w:r>
      <w:r>
        <w:rPr>
          <w:rFonts w:ascii="Times New Roman;Times;serif" w:hAnsi="Times New Roman;Times;serif"/>
          <w:color w:val="000000"/>
          <w:sz w:val="24"/>
          <w:u w:val="single"/>
        </w:rPr>
        <w:t>Representations and Warranties of the Seller</w:t>
      </w:r>
    </w:p>
    <w:p>
      <w:pPr>
        <w:pStyle w:val="TextBody"/>
        <w:bidi w:val="0"/>
        <w:spacing w:before="240" w:after="283"/>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The Seller hereby makes the following representations and warranties to the Buyer, all of which shall survive the Closing: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2.1</w:t>
      </w:r>
      <w:r>
        <w:rPr>
          <w:rFonts w:ascii="Times New Roman;Times;serif" w:hAnsi="Times New Roman;Times;serif"/>
          <w:color w:val="000000"/>
          <w:sz w:val="20"/>
        </w:rPr>
        <w:t> </w:t>
      </w:r>
      <w:r>
        <w:rPr>
          <w:rFonts w:ascii="Times New Roman;Times;serif" w:hAnsi="Times New Roman;Times;serif"/>
          <w:color w:val="000000"/>
          <w:sz w:val="24"/>
          <w:u w:val="single"/>
        </w:rPr>
        <w:t>Ownership of Stock</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(a)</w:t>
      </w:r>
      <w:r>
        <w:rPr>
          <w:rFonts w:ascii="Times New Roman;Times;serif" w:hAnsi="Times New Roman;Times;serif"/>
          <w:color w:val="000000"/>
          <w:sz w:val="20"/>
        </w:rPr>
        <w:t> </w:t>
      </w:r>
      <w:r>
        <w:rPr>
          <w:rFonts w:ascii="Times New Roman;Times;serif" w:hAnsi="Times New Roman;Times;serif"/>
          <w:color w:val="000000"/>
          <w:sz w:val="24"/>
        </w:rPr>
        <w:t>The Shares are owned by the Seller free and clear of all liens, encumbrances, charges, and assessments of every nature and subject to no restrictions with respect to transferability.  The Seller has full power and authority to assign and transfer the Shares to the Buyer in accordance with the terms hereof.</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(b)</w:t>
      </w:r>
      <w:r>
        <w:rPr>
          <w:rFonts w:ascii="Times New Roman;Times;serif" w:hAnsi="Times New Roman;Times;serif"/>
          <w:color w:val="000000"/>
          <w:sz w:val="20"/>
        </w:rPr>
        <w:t> </w:t>
      </w:r>
      <w:r>
        <w:rPr>
          <w:rFonts w:ascii="Times New Roman;Times;serif" w:hAnsi="Times New Roman;Times;serif"/>
          <w:color w:val="000000"/>
          <w:sz w:val="24"/>
        </w:rPr>
        <w:t>Except for this Agreement, there are no outstanding options, contracts, calls, commitments, agreements, rights to purchase, rights of first refusal, proxies, powers of attorney, demands, or rights of any character relating to the Shares.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2.2</w:t>
      </w:r>
      <w:r>
        <w:rPr>
          <w:rFonts w:ascii="Times New Roman;Times;serif" w:hAnsi="Times New Roman;Times;serif"/>
          <w:color w:val="000000"/>
          <w:sz w:val="20"/>
        </w:rPr>
        <w:t> </w:t>
      </w:r>
      <w:r>
        <w:rPr>
          <w:rFonts w:ascii="Times New Roman;Times;serif" w:hAnsi="Times New Roman;Times;serif"/>
          <w:color w:val="000000"/>
          <w:sz w:val="24"/>
          <w:u w:val="single"/>
        </w:rPr>
        <w:t>Authority</w:t>
      </w:r>
      <w:r>
        <w:rPr>
          <w:rFonts w:ascii="Times New Roman;Times;serif" w:hAnsi="Times New Roman;Times;serif"/>
          <w:color w:val="000000"/>
          <w:sz w:val="24"/>
        </w:rPr>
        <w:t>.  No act, consent, or proceeding on the part of any person or entity is necessary to authorize this Agreement and the transfer and sale of the Shares pursuant hereto.  This Agreement constitutes the valid and binding agreement of the Seller, enforceable in accordance with its terms, except as such may be limited by bankruptcy, insolvency, reorganization, or other laws affecting creditors’ rights generally, and by general equitable principles.</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3.</w:t>
      </w:r>
    </w:p>
    <w:p>
      <w:pPr>
        <w:pStyle w:val="TextBody"/>
        <w:bidi w:val="0"/>
        <w:spacing w:before="0" w:after="0"/>
        <w:jc w:val="center"/>
        <w:rPr>
          <w:rFonts w:ascii="Times New Roman;Times;serif" w:hAnsi="Times New Roman;Times;serif"/>
          <w:color w:val="000000"/>
          <w:sz w:val="24"/>
          <w:u w:val="single"/>
        </w:rPr>
      </w:pPr>
      <w:r>
        <w:rPr>
          <w:rFonts w:ascii="Times New Roman;Times;serif" w:hAnsi="Times New Roman;Times;serif"/>
          <w:color w:val="000000"/>
          <w:sz w:val="24"/>
          <w:u w:val="single"/>
        </w:rPr>
        <w:t>Representations and Warranties of the Buyer</w:t>
      </w:r>
    </w:p>
    <w:p>
      <w:pPr>
        <w:pStyle w:val="TextBody"/>
        <w:bidi w:val="0"/>
        <w:spacing w:before="240" w:after="283"/>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The Buyer hereby makes the following representations and warranties to the Seller, all of which shall survive the Closing: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3.1</w:t>
      </w:r>
      <w:r>
        <w:rPr>
          <w:rFonts w:ascii="Times New Roman;Times;serif" w:hAnsi="Times New Roman;Times;serif"/>
          <w:color w:val="000000"/>
          <w:sz w:val="20"/>
        </w:rPr>
        <w:t> </w:t>
      </w:r>
      <w:r>
        <w:rPr>
          <w:rFonts w:ascii="Times New Roman;Times;serif" w:hAnsi="Times New Roman;Times;serif"/>
          <w:color w:val="000000"/>
          <w:sz w:val="24"/>
          <w:u w:val="single"/>
        </w:rPr>
        <w:t>Investment Experience</w:t>
      </w:r>
      <w:r>
        <w:rPr>
          <w:rFonts w:ascii="Times New Roman;Times;serif" w:hAnsi="Times New Roman;Times;serif"/>
          <w:color w:val="000000"/>
          <w:sz w:val="24"/>
        </w:rPr>
        <w:t>.  The Buyer has substantial experience in evaluating and investing in securities in companies similar to the Company such that the Buyer is capable of evaluating the merits and risks of the Buyer’s investment in the Company and has the capacity to protect its own interests.  The Buyer is an “Accredited Investor” as defined in Rule 501 of Regulation D promulgated under the Securities Act of 1933, as amended (the “</w:t>
      </w:r>
      <w:r>
        <w:rPr>
          <w:rFonts w:ascii="Times New Roman;Times;serif" w:hAnsi="Times New Roman;Times;serif"/>
          <w:color w:val="000000"/>
          <w:sz w:val="24"/>
          <w:u w:val="single"/>
        </w:rPr>
        <w:t>Securities Act</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3.2</w:t>
      </w:r>
      <w:r>
        <w:rPr>
          <w:rFonts w:ascii="Times New Roman;Times;serif" w:hAnsi="Times New Roman;Times;serif"/>
          <w:color w:val="000000"/>
          <w:sz w:val="20"/>
        </w:rPr>
        <w:t> </w:t>
      </w:r>
      <w:r>
        <w:rPr>
          <w:rFonts w:ascii="Times New Roman;Times;serif" w:hAnsi="Times New Roman;Times;serif"/>
          <w:color w:val="000000"/>
          <w:sz w:val="24"/>
          <w:u w:val="single"/>
        </w:rPr>
        <w:t>Investment</w:t>
      </w:r>
      <w:r>
        <w:rPr>
          <w:rFonts w:ascii="Times New Roman;Times;serif" w:hAnsi="Times New Roman;Times;serif"/>
          <w:color w:val="000000"/>
          <w:sz w:val="24"/>
        </w:rPr>
        <w:t>.  The Buyer is acquiring the Shares for investment for the Buyer’s own account, not as a nominee or agent, and not with the view to, or for resale in connection with, any distribution thereof.  The Buyer understands that the Shares have not been, and will not be when delivered hereunder, registered under the Securities Act by reason of a specific exemption from the registration provisions of the Securities Act, the availability of which depends upon, among other things, the bona fide nature of the investment intent and the accuracy of the representations as expressed herein.  The Buyer can afford the loss of his or her entire investment in the Shares.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3.3</w:t>
      </w:r>
      <w:r>
        <w:rPr>
          <w:rFonts w:ascii="Times New Roman;Times;serif" w:hAnsi="Times New Roman;Times;serif"/>
          <w:color w:val="000000"/>
          <w:sz w:val="20"/>
        </w:rPr>
        <w:t> </w:t>
      </w:r>
      <w:r>
        <w:rPr>
          <w:rFonts w:ascii="Times New Roman;Times;serif" w:hAnsi="Times New Roman;Times;serif"/>
          <w:color w:val="000000"/>
          <w:sz w:val="24"/>
          <w:u w:val="single"/>
        </w:rPr>
        <w:t>Rule 144</w:t>
      </w:r>
      <w:r>
        <w:rPr>
          <w:rFonts w:ascii="Times New Roman;Times;serif" w:hAnsi="Times New Roman;Times;serif"/>
          <w:color w:val="000000"/>
          <w:sz w:val="24"/>
        </w:rPr>
        <w:t>.  The Buyer acknowledges that the Shares must be held indefinitely unless subsequently registered under the Securities Act or unless an exemption from such registration is available.  The Buyer is aware of the provisions of Rule 144 promulgated under the Securities Act which permit limited resale of shares sold in a private transaction subject to the satisfaction of certain conditions, which may include, among other things, the existence of a public market for</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the shares, the availability of certain current public information about the Company, the resale occurring not less than one year after a party has purchased and paid for the security to be sold, and the sale being effected through a “broker’s transaction” or in transactions directly with a “market maker”.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3.4</w:t>
      </w:r>
      <w:r>
        <w:rPr>
          <w:rFonts w:ascii="Times New Roman;Times;serif" w:hAnsi="Times New Roman;Times;serif"/>
          <w:color w:val="000000"/>
          <w:sz w:val="20"/>
        </w:rPr>
        <w:t> </w:t>
      </w:r>
      <w:r>
        <w:rPr>
          <w:rFonts w:ascii="Times New Roman;Times;serif" w:hAnsi="Times New Roman;Times;serif"/>
          <w:color w:val="000000"/>
          <w:sz w:val="24"/>
          <w:u w:val="single"/>
        </w:rPr>
        <w:t>Authorization; Corporate Power</w:t>
      </w:r>
      <w:r>
        <w:rPr>
          <w:rFonts w:ascii="Times New Roman;Times;serif" w:hAnsi="Times New Roman;Times;serif"/>
          <w:color w:val="000000"/>
          <w:sz w:val="24"/>
        </w:rPr>
        <w:t>.  The Buyer has all requisite legal power and authority to execute and deliver this Agreement and the Purchase Note and to carry out and perform his, her, or its obligations under the terms of this Agreement, the Purchase Note, and the transactions contemplated hereby.  This Agreement and the Purchase Note, when executed and delivered by the Buyer, will constitute valid and legally binding obligations of the Buyer, enforceable in accordance with their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3.5</w:t>
      </w:r>
      <w:r>
        <w:rPr>
          <w:rFonts w:ascii="Times New Roman;Times;serif" w:hAnsi="Times New Roman;Times;serif"/>
          <w:color w:val="000000"/>
          <w:sz w:val="20"/>
        </w:rPr>
        <w:t> </w:t>
      </w:r>
      <w:r>
        <w:rPr>
          <w:rFonts w:ascii="Times New Roman;Times;serif" w:hAnsi="Times New Roman;Times;serif"/>
          <w:color w:val="000000"/>
          <w:sz w:val="24"/>
          <w:u w:val="single"/>
        </w:rPr>
        <w:t>Broker’s and Finders’ Fees</w:t>
      </w:r>
      <w:r>
        <w:rPr>
          <w:rFonts w:ascii="Times New Roman;Times;serif" w:hAnsi="Times New Roman;Times;serif"/>
          <w:color w:val="000000"/>
          <w:sz w:val="24"/>
        </w:rPr>
        <w:t>.  The Buyer has not incurred, and will not incur, directly or indirectly, any liability for brokerage or finders’ fees or agents’ commissions or any similar charges in connection with this Agreement or any transaction contemplated hereby.</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3.6</w:t>
      </w:r>
      <w:r>
        <w:rPr>
          <w:rFonts w:ascii="Times New Roman;Times;serif" w:hAnsi="Times New Roman;Times;serif"/>
          <w:color w:val="000000"/>
          <w:sz w:val="20"/>
        </w:rPr>
        <w:t> </w:t>
      </w:r>
      <w:r>
        <w:rPr>
          <w:rFonts w:ascii="Times New Roman;Times;serif" w:hAnsi="Times New Roman;Times;serif"/>
          <w:color w:val="000000"/>
          <w:sz w:val="24"/>
          <w:u w:val="single"/>
        </w:rPr>
        <w:t>Legends</w:t>
      </w:r>
      <w:r>
        <w:rPr>
          <w:rFonts w:ascii="Times New Roman;Times;serif" w:hAnsi="Times New Roman;Times;serif"/>
          <w:color w:val="000000"/>
          <w:sz w:val="24"/>
        </w:rPr>
        <w:t>.  It is understood that each certificate representing the Shares shall bear substantially the following legend:</w:t>
      </w:r>
    </w:p>
    <w:p>
      <w:pPr>
        <w:pStyle w:val="TextBody"/>
        <w:bidi w:val="0"/>
        <w:spacing w:before="240" w:after="283"/>
        <w:ind w:left="720" w:right="0" w:hanging="0"/>
        <w:jc w:val="both"/>
        <w:rPr>
          <w:color w:val="000000"/>
        </w:rPr>
      </w:pPr>
      <w:r>
        <w:rPr>
          <w:color w:val="000000"/>
        </w:rPr>
        <w:t>“</w:t>
      </w:r>
      <w:r>
        <w:rPr>
          <w:rFonts w:ascii="Times New Roman;Times;serif" w:hAnsi="Times New Roman;Times;serif"/>
          <w:color w:val="000000"/>
          <w:sz w:val="24"/>
        </w:rPr>
        <w:t>THESE SECURITIES HAVE NOT BEEN REGISTERED UNDER THE SECURITIES ACT OF 1933, AS AMENDED.  THEY MAY NOT BE SOLD, OFFERED FOR SALE, PLEDGED OR HYPOTHECATED IN THE ABSENCE OF AN EFFECTIVE REGISTRATION STATEMENT AS TO THE SECURITIES UNDER SAID ACT OR AN OPINION OF COUNSEL SATISFACTORY TO THE CORPORATION THAT SUCH REGISTRATION IS NOT REQUIRED.”</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3.7</w:t>
      </w:r>
      <w:r>
        <w:rPr>
          <w:rFonts w:ascii="Times New Roman;Times;serif" w:hAnsi="Times New Roman;Times;serif"/>
          <w:color w:val="000000"/>
          <w:sz w:val="20"/>
        </w:rPr>
        <w:t> </w:t>
      </w:r>
      <w:r>
        <w:rPr>
          <w:rFonts w:ascii="Times New Roman;Times;serif" w:hAnsi="Times New Roman;Times;serif"/>
          <w:color w:val="000000"/>
          <w:sz w:val="24"/>
          <w:u w:val="single"/>
        </w:rPr>
        <w:t>Residence/Location of Buyer</w:t>
      </w:r>
      <w:r>
        <w:rPr>
          <w:rFonts w:ascii="Times New Roman;Times;serif" w:hAnsi="Times New Roman;Times;serif"/>
          <w:color w:val="000000"/>
          <w:sz w:val="24"/>
        </w:rPr>
        <w:t>.  If the Buyer is an individual, the Buyer is a permanent resident of the state indicated on the Buyer’s signature page to this Agreement.  If the Buyer is a business entity or trust, the Buyer has its principal location in, the state or other jurisdiction indicated on the Buyer’s signature page to this Agreement.</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4.</w:t>
        <w:br/>
      </w:r>
      <w:r>
        <w:rPr>
          <w:rFonts w:ascii="Times New Roman;Times;serif" w:hAnsi="Times New Roman;Times;serif"/>
          <w:color w:val="000000"/>
          <w:sz w:val="24"/>
          <w:u w:val="single"/>
        </w:rPr>
        <w:t>Miscellaneous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4.1</w:t>
      </w:r>
      <w:r>
        <w:rPr>
          <w:rFonts w:ascii="Times New Roman;Times;serif" w:hAnsi="Times New Roman;Times;serif"/>
          <w:color w:val="000000"/>
          <w:sz w:val="20"/>
        </w:rPr>
        <w:t> </w:t>
      </w:r>
      <w:r>
        <w:rPr>
          <w:rFonts w:ascii="Times New Roman;Times;serif" w:hAnsi="Times New Roman;Times;serif"/>
          <w:color w:val="000000"/>
          <w:sz w:val="24"/>
          <w:u w:val="single"/>
        </w:rPr>
        <w:t>Entire Agreement</w:t>
      </w:r>
      <w:r>
        <w:rPr>
          <w:rFonts w:ascii="Times New Roman;Times;serif" w:hAnsi="Times New Roman;Times;serif"/>
          <w:color w:val="000000"/>
          <w:sz w:val="24"/>
        </w:rPr>
        <w:t>.  This Agreement, together with the Purchase Note, constitutes the entire agreement between the parties with respect to the subject matter hereof and supersedes all prior agreements and understandings, both written and oral, between the parties with respect to the subject matter hereof.</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4.2</w:t>
      </w:r>
      <w:r>
        <w:rPr>
          <w:rFonts w:ascii="Times New Roman;Times;serif" w:hAnsi="Times New Roman;Times;serif"/>
          <w:color w:val="000000"/>
          <w:sz w:val="20"/>
        </w:rPr>
        <w:t> </w:t>
      </w:r>
      <w:r>
        <w:rPr>
          <w:rFonts w:ascii="Times New Roman;Times;serif" w:hAnsi="Times New Roman;Times;serif"/>
          <w:color w:val="000000"/>
          <w:sz w:val="24"/>
          <w:u w:val="single"/>
        </w:rPr>
        <w:t>Assignment</w:t>
      </w:r>
      <w:r>
        <w:rPr>
          <w:rFonts w:ascii="Times New Roman;Times;serif" w:hAnsi="Times New Roman;Times;serif"/>
          <w:color w:val="000000"/>
          <w:sz w:val="24"/>
        </w:rPr>
        <w:t>. The rights and obligations of the Buyer hereunder may not be assigned, transferred or encumbered without the prior written consent of the Seller.  This Agreement shall be binding upon and inure to the benefit of the parties hereto and the permitted successors and assigns of the parties.</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4.3</w:t>
      </w:r>
      <w:r>
        <w:rPr>
          <w:rFonts w:ascii="Times New Roman;Times;serif" w:hAnsi="Times New Roman;Times;serif"/>
          <w:color w:val="000000"/>
          <w:sz w:val="20"/>
        </w:rPr>
        <w:t> </w:t>
      </w:r>
      <w:r>
        <w:rPr>
          <w:rFonts w:ascii="Times New Roman;Times;serif" w:hAnsi="Times New Roman;Times;serif"/>
          <w:color w:val="000000"/>
          <w:sz w:val="24"/>
          <w:u w:val="single"/>
        </w:rPr>
        <w:t>Governing Law; Disputes</w:t>
      </w:r>
      <w:r>
        <w:rPr>
          <w:rFonts w:ascii="Times New Roman;Times;serif" w:hAnsi="Times New Roman;Times;serif"/>
          <w:color w:val="000000"/>
          <w:sz w:val="24"/>
        </w:rPr>
        <w:t>. The validity, construction, enforcement, and interpretation of this Agreement are governed by the laws of Delaware without regard to principles of conflict of laws. All disputes arising from or relating to this Agreement or the transactions contemplated hereby shall be resolved exclusively in the state or federal courts located in Orange County, California.</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4.4</w:t>
      </w:r>
      <w:r>
        <w:rPr>
          <w:rFonts w:ascii="Times New Roman;Times;serif" w:hAnsi="Times New Roman;Times;serif"/>
          <w:color w:val="000000"/>
          <w:sz w:val="20"/>
        </w:rPr>
        <w:t> </w:t>
      </w:r>
      <w:r>
        <w:rPr>
          <w:rFonts w:ascii="Times New Roman;Times;serif" w:hAnsi="Times New Roman;Times;serif"/>
          <w:color w:val="000000"/>
          <w:sz w:val="24"/>
          <w:u w:val="single"/>
        </w:rPr>
        <w:t>Amendments</w:t>
      </w:r>
      <w:r>
        <w:rPr>
          <w:rFonts w:ascii="Times New Roman;Times;serif" w:hAnsi="Times New Roman;Times;serif"/>
          <w:color w:val="000000"/>
          <w:sz w:val="24"/>
        </w:rPr>
        <w:t>.  This Agreement may not be amended except in a writing executed by the party against whom enforcement of the amendment is sought.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4.5 </w:t>
      </w:r>
      <w:r>
        <w:rPr>
          <w:rFonts w:ascii="Times New Roman;Times;serif" w:hAnsi="Times New Roman;Times;serif"/>
          <w:color w:val="000000"/>
          <w:sz w:val="24"/>
          <w:u w:val="single"/>
        </w:rPr>
        <w:t>Counterparts</w:t>
      </w:r>
      <w:r>
        <w:rPr>
          <w:rFonts w:ascii="Times New Roman;Times;serif" w:hAnsi="Times New Roman;Times;serif"/>
          <w:color w:val="000000"/>
          <w:sz w:val="24"/>
        </w:rPr>
        <w:t>.  This Agreement may be executed in counterparts, each of which shall constitute an original, and all of which, together, shall constitute the same instrument.  Delivery of signed copies hereof by facsimile, PDF or other electronic format shall be deemed to be effective delivery of an original counterpart.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4.6</w:t>
      </w:r>
      <w:r>
        <w:rPr>
          <w:rFonts w:ascii="Times New Roman;Times;serif" w:hAnsi="Times New Roman;Times;serif"/>
          <w:color w:val="000000"/>
          <w:sz w:val="20"/>
        </w:rPr>
        <w:t> </w:t>
      </w:r>
      <w:r>
        <w:rPr>
          <w:rFonts w:ascii="Times New Roman;Times;serif" w:hAnsi="Times New Roman;Times;serif"/>
          <w:color w:val="000000"/>
          <w:sz w:val="24"/>
          <w:u w:val="single"/>
        </w:rPr>
        <w:t>Headings</w:t>
      </w:r>
      <w:r>
        <w:rPr>
          <w:rFonts w:ascii="Times New Roman;Times;serif" w:hAnsi="Times New Roman;Times;serif"/>
          <w:color w:val="000000"/>
          <w:sz w:val="24"/>
        </w:rPr>
        <w:t>.  The headings of the sections of this Agreement are for convenience and shall not by themselves determine the interpretation of this Agreement.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4.7</w:t>
      </w:r>
      <w:r>
        <w:rPr>
          <w:rFonts w:ascii="Times New Roman;Times;serif" w:hAnsi="Times New Roman;Times;serif"/>
          <w:color w:val="000000"/>
          <w:sz w:val="20"/>
        </w:rPr>
        <w:t> </w:t>
      </w:r>
      <w:r>
        <w:rPr>
          <w:rFonts w:ascii="Times New Roman;Times;serif" w:hAnsi="Times New Roman;Times;serif"/>
          <w:color w:val="000000"/>
          <w:sz w:val="24"/>
          <w:u w:val="single"/>
        </w:rPr>
        <w:t>Expenses</w:t>
      </w:r>
      <w:r>
        <w:rPr>
          <w:rFonts w:ascii="Times New Roman;Times;serif" w:hAnsi="Times New Roman;Times;serif"/>
          <w:color w:val="000000"/>
          <w:sz w:val="24"/>
        </w:rPr>
        <w:t>.  Each of the parties shall bear its own expenses and the expenses of its counsel and other agents in connection with the transactions contemplated hereby.</w:t>
      </w:r>
    </w:p>
    <w:p>
      <w:pPr>
        <w:pStyle w:val="TextBody"/>
        <w:bidi w:val="0"/>
        <w:spacing w:before="0" w:after="0"/>
        <w:jc w:val="left"/>
        <w:rPr/>
      </w:pPr>
      <w:r>
        <w:rPr/>
      </w:r>
    </w:p>
    <w:p>
      <w:pPr>
        <w:pStyle w:val="TextBody"/>
        <w:bidi w:val="0"/>
        <w:spacing w:before="0" w:after="0"/>
        <w:jc w:val="center"/>
        <w:rPr>
          <w:rFonts w:ascii="Times New Roman;Times;serif" w:hAnsi="Times New Roman;Times;serif"/>
          <w:b/>
          <w:i/>
          <w:color w:val="000000"/>
          <w:sz w:val="24"/>
        </w:rPr>
      </w:pPr>
      <w:r>
        <w:rPr>
          <w:rFonts w:ascii="Times New Roman;Times;serif" w:hAnsi="Times New Roman;Times;serif"/>
          <w:b/>
          <w:i/>
          <w:color w:val="000000"/>
          <w:sz w:val="24"/>
        </w:rPr>
        <w:t>[Signatures on following page(s)]</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both"/>
        <w:rPr>
          <w:rFonts w:ascii="Times New Roman;Times;serif" w:hAnsi="Times New Roman;Times;serif"/>
          <w:color w:val="000000"/>
          <w:sz w:val="24"/>
        </w:rPr>
      </w:pPr>
      <w:r>
        <w:rPr>
          <w:rFonts w:ascii="Times New Roman;Times;serif" w:hAnsi="Times New Roman;Times;serif"/>
          <w:b/>
          <w:color w:val="000000"/>
          <w:sz w:val="24"/>
        </w:rPr>
        <w:t xml:space="preserve">IN WITNESS WHEREOF, </w:t>
      </w:r>
      <w:r>
        <w:rPr>
          <w:rFonts w:ascii="Times New Roman;Times;serif" w:hAnsi="Times New Roman;Times;serif"/>
          <w:color w:val="000000"/>
          <w:sz w:val="24"/>
        </w:rPr>
        <w:t>the parties hereto have executed this Stock Purchase Agreement as of the day and year first above written.</w:t>
      </w:r>
    </w:p>
    <w:tbl>
      <w:tblPr>
        <w:tblW w:w="4055" w:type="dxa"/>
        <w:jc w:val="left"/>
        <w:tblInd w:w="0" w:type="dxa"/>
        <w:tblLayout w:type="fixed"/>
        <w:tblCellMar>
          <w:top w:w="0" w:type="dxa"/>
          <w:left w:w="0" w:type="dxa"/>
          <w:bottom w:w="0" w:type="dxa"/>
          <w:right w:w="0" w:type="dxa"/>
        </w:tblCellMar>
      </w:tblPr>
      <w:tblGrid>
        <w:gridCol w:w="60"/>
        <w:gridCol w:w="3995"/>
      </w:tblGrid>
      <w:tr>
        <w:trPr/>
        <w:tc>
          <w:tcPr>
            <w:tcW w:w="6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0"/>
              <w:jc w:val="left"/>
              <w:rPr/>
            </w:pPr>
            <w:r>
              <w:rPr/>
              <w:t xml:space="preserve">  </w:t>
            </w:r>
          </w:p>
          <w:p>
            <w:pPr>
              <w:pStyle w:val="TableContents"/>
              <w:bidi w:val="0"/>
              <w:spacing w:before="0" w:after="0"/>
              <w:ind w:left="5040" w:right="0" w:hanging="0"/>
              <w:jc w:val="left"/>
              <w:rPr>
                <w:b/>
                <w:sz w:val="24"/>
              </w:rPr>
            </w:pPr>
            <w:r>
              <w:rPr>
                <w:b/>
                <w:sz w:val="24"/>
              </w:rPr>
              <w:t>SELLER</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LIQUIDMETAL TECHNOLOGY LTD</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By:</w:t>
            </w:r>
            <w:r>
              <w:rPr>
                <w:sz w:val="24"/>
                <w:u w:val="single"/>
              </w:rPr>
              <w:t xml:space="preserve"> /s/ Lugee Li Yeung Tak</w:t>
            </w:r>
            <w:r>
              <w:rPr>
                <w:sz w:val="24"/>
              </w:rPr>
              <w:t> </w:t>
            </w:r>
          </w:p>
          <w:p>
            <w:pPr>
              <w:pStyle w:val="TableContents"/>
              <w:bidi w:val="0"/>
              <w:spacing w:before="0" w:after="0"/>
              <w:ind w:left="5040" w:right="0" w:hanging="0"/>
              <w:jc w:val="left"/>
              <w:rPr>
                <w:sz w:val="24"/>
              </w:rPr>
            </w:pPr>
            <w:r>
              <w:rPr>
                <w:sz w:val="24"/>
              </w:rPr>
              <w:t>Lugee Li Yeung Tak</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Address:</w:t>
            </w:r>
          </w:p>
          <w:p>
            <w:pPr>
              <w:pStyle w:val="TableContents"/>
              <w:bidi w:val="0"/>
              <w:spacing w:before="0" w:after="0"/>
              <w:ind w:left="5040" w:right="0" w:hanging="0"/>
              <w:jc w:val="left"/>
              <w:rPr>
                <w:sz w:val="24"/>
              </w:rPr>
            </w:pPr>
            <w:r>
              <w:rPr>
                <w:sz w:val="24"/>
              </w:rPr>
              <w:t>Room 906, Tai Tung Building</w:t>
            </w:r>
          </w:p>
          <w:p>
            <w:pPr>
              <w:pStyle w:val="TableContents"/>
              <w:bidi w:val="0"/>
              <w:spacing w:before="0" w:after="0"/>
              <w:ind w:left="5040" w:right="0" w:hanging="0"/>
              <w:jc w:val="left"/>
              <w:rPr>
                <w:sz w:val="24"/>
              </w:rPr>
            </w:pPr>
            <w:r>
              <w:rPr>
                <w:sz w:val="24"/>
              </w:rPr>
              <w:t>8 Fleming Road</w:t>
            </w:r>
          </w:p>
          <w:p>
            <w:pPr>
              <w:pStyle w:val="TableContents"/>
              <w:bidi w:val="0"/>
              <w:spacing w:before="0" w:after="0"/>
              <w:ind w:left="5040" w:right="0" w:hanging="0"/>
              <w:jc w:val="left"/>
              <w:rPr>
                <w:sz w:val="24"/>
              </w:rPr>
            </w:pPr>
            <w:r>
              <w:rPr>
                <w:sz w:val="24"/>
              </w:rPr>
              <w:t>Wanchai, Hong Kong</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Email:</w:t>
            </w:r>
          </w:p>
          <w:p>
            <w:pPr>
              <w:pStyle w:val="TableContents"/>
              <w:bidi w:val="0"/>
              <w:spacing w:before="240" w:after="283"/>
              <w:jc w:val="left"/>
              <w:rPr/>
            </w:pPr>
            <w:r>
              <w:rPr/>
            </w:r>
          </w:p>
          <w:p>
            <w:pPr>
              <w:pStyle w:val="TableContents"/>
              <w:bidi w:val="0"/>
              <w:spacing w:before="0" w:after="0"/>
              <w:jc w:val="left"/>
              <w:rPr/>
            </w:pPr>
            <w:r>
              <w:rPr/>
            </w:r>
          </w:p>
          <w:p>
            <w:pPr>
              <w:pStyle w:val="TableContents"/>
              <w:bidi w:val="0"/>
              <w:spacing w:before="240" w:after="283"/>
              <w:ind w:left="5040" w:right="0" w:hanging="0"/>
              <w:jc w:val="left"/>
              <w:rPr>
                <w:b/>
                <w:sz w:val="24"/>
              </w:rPr>
            </w:pPr>
            <w:r>
              <w:rPr>
                <w:b/>
                <w:sz w:val="24"/>
              </w:rPr>
              <w:t>BUYER:</w:t>
            </w:r>
          </w:p>
          <w:p>
            <w:pPr>
              <w:pStyle w:val="TableContents"/>
              <w:bidi w:val="0"/>
              <w:spacing w:before="0" w:after="0"/>
              <w:jc w:val="left"/>
              <w:rPr/>
            </w:pPr>
            <w:r>
              <w:rPr/>
            </w:r>
          </w:p>
          <w:p>
            <w:pPr>
              <w:pStyle w:val="TableContents"/>
              <w:bidi w:val="0"/>
              <w:spacing w:before="0" w:after="0"/>
              <w:ind w:left="5040" w:right="0" w:hanging="0"/>
              <w:jc w:val="left"/>
              <w:rPr>
                <w:b/>
                <w:sz w:val="24"/>
              </w:rPr>
            </w:pPr>
            <w:r>
              <w:rPr>
                <w:b/>
                <w:sz w:val="24"/>
              </w:rPr>
              <w:t>PARNAS HILLS, LLC.</w:t>
            </w:r>
          </w:p>
          <w:p>
            <w:pPr>
              <w:pStyle w:val="TableContents"/>
              <w:bidi w:val="0"/>
              <w:spacing w:before="0" w:after="0"/>
              <w:jc w:val="left"/>
              <w:rPr/>
            </w:pPr>
            <w:r>
              <w:rPr/>
            </w:r>
          </w:p>
          <w:p>
            <w:pPr>
              <w:pStyle w:val="TableContents"/>
              <w:bidi w:val="0"/>
              <w:spacing w:before="0" w:after="0"/>
              <w:ind w:left="5040" w:right="0" w:hanging="0"/>
              <w:jc w:val="left"/>
              <w:rPr/>
            </w:pPr>
            <w:r>
              <w:rPr>
                <w:sz w:val="24"/>
              </w:rPr>
              <w:t>By:</w:t>
            </w:r>
            <w:r>
              <w:rPr>
                <w:sz w:val="24"/>
                <w:u w:val="single"/>
              </w:rPr>
              <w:t xml:space="preserve"> /s/ Paul Carrubba</w:t>
            </w:r>
            <w:r>
              <w:rPr/>
              <w:t> </w:t>
            </w:r>
          </w:p>
          <w:p>
            <w:pPr>
              <w:pStyle w:val="TableContents"/>
              <w:bidi w:val="0"/>
              <w:spacing w:before="0" w:after="0"/>
              <w:ind w:left="5040" w:right="0" w:hanging="0"/>
              <w:jc w:val="left"/>
              <w:rPr>
                <w:sz w:val="24"/>
              </w:rPr>
            </w:pPr>
            <w:r>
              <w:rPr>
                <w:sz w:val="24"/>
              </w:rPr>
              <w:t>Paul Carrubba, Manager</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Address:</w:t>
            </w:r>
          </w:p>
          <w:p>
            <w:pPr>
              <w:pStyle w:val="TableContents"/>
              <w:bidi w:val="0"/>
              <w:spacing w:before="0" w:after="0"/>
              <w:ind w:left="5040" w:right="0" w:hanging="0"/>
              <w:jc w:val="left"/>
              <w:rPr>
                <w:sz w:val="24"/>
              </w:rPr>
            </w:pPr>
            <w:r>
              <w:rPr>
                <w:sz w:val="24"/>
              </w:rPr>
              <w:t>2804 Dawley Ave.</w:t>
            </w:r>
          </w:p>
          <w:p>
            <w:pPr>
              <w:pStyle w:val="TableContents"/>
              <w:bidi w:val="0"/>
              <w:spacing w:before="0" w:after="0"/>
              <w:ind w:left="5040" w:right="0" w:hanging="0"/>
              <w:jc w:val="left"/>
              <w:rPr>
                <w:sz w:val="24"/>
              </w:rPr>
            </w:pPr>
            <w:r>
              <w:rPr>
                <w:sz w:val="24"/>
              </w:rPr>
              <w:t>Orlando, FL 32806</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Email:</w:t>
            </w:r>
          </w:p>
        </w:tc>
      </w:tr>
    </w:tbl>
    <w:p>
      <w:pPr>
        <w:pStyle w:val="TextBody"/>
        <w:bidi w:val="0"/>
        <w:spacing w:before="240" w:after="283"/>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240"/>
        <w:jc w:val="left"/>
        <w:rPr/>
      </w:pPr>
      <w:r>
        <w:rPr/>
      </w:r>
    </w:p>
    <w:p>
      <w:pPr>
        <w:pStyle w:val="TextBody"/>
        <w:bidi w:val="0"/>
        <w:spacing w:before="240" w:after="283"/>
        <w:jc w:val="center"/>
        <w:rPr>
          <w:rFonts w:ascii="Times New Roman;Times;serif" w:hAnsi="Times New Roman;Times;serif"/>
          <w:b/>
          <w:color w:val="000000"/>
          <w:sz w:val="24"/>
          <w:u w:val="single"/>
        </w:rPr>
      </w:pPr>
      <w:r>
        <w:rPr>
          <w:rFonts w:ascii="Times New Roman;Times;serif" w:hAnsi="Times New Roman;Times;serif"/>
          <w:b/>
          <w:color w:val="000000"/>
          <w:sz w:val="24"/>
          <w:u w:val="single"/>
        </w:rPr>
        <w:t>EXHIBIT A</w:t>
      </w:r>
    </w:p>
    <w:p>
      <w:pPr>
        <w:pStyle w:val="TextBody"/>
        <w:bidi w:val="0"/>
        <w:spacing w:before="240" w:after="283"/>
        <w:jc w:val="center"/>
        <w:rPr>
          <w:rFonts w:ascii="Times New Roman;Times;serif" w:hAnsi="Times New Roman;Times;serif"/>
          <w:b/>
          <w:color w:val="000000"/>
          <w:sz w:val="24"/>
        </w:rPr>
      </w:pPr>
      <w:r>
        <w:rPr>
          <w:rFonts w:ascii="Times New Roman;Times;serif" w:hAnsi="Times New Roman;Times;serif"/>
          <w:b/>
          <w:color w:val="000000"/>
          <w:sz w:val="24"/>
        </w:rPr>
        <w:t>FORM OF PURCHASE NOTE</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(attached)</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0" w:after="283"/>
        <w:jc w:val="center"/>
        <w:rPr>
          <w:rFonts w:ascii="Times New Roman;Times;serif" w:hAnsi="Times New Roman;Times;serif"/>
          <w:color w:val="000000"/>
          <w:sz w:val="24"/>
        </w:rPr>
      </w:pPr>
      <w:r>
        <w:rPr>
          <w:rFonts w:ascii="Times New Roman;Times;serif" w:hAnsi="Times New Roman;Times;serif"/>
          <w:color w:val="000000"/>
          <w:sz w:val="24"/>
        </w:rPr>
        <w:t>PROMISSORY NOTE</w:t>
      </w:r>
    </w:p>
    <w:p>
      <w:pPr>
        <w:pStyle w:val="TextBody"/>
        <w:bidi w:val="0"/>
        <w:spacing w:before="0" w:after="0"/>
        <w:jc w:val="left"/>
        <w:rPr/>
      </w:pPr>
      <w:r>
        <w:rPr/>
      </w:r>
    </w:p>
    <w:p>
      <w:pPr>
        <w:pStyle w:val="TextBody"/>
        <w:bidi w:val="0"/>
        <w:spacing w:before="30" w:after="283"/>
        <w:jc w:val="left"/>
        <w:rPr/>
      </w:pPr>
      <w:r>
        <w:rPr/>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 xml:space="preserve">Amount:  </w:t>
      </w:r>
      <w:r>
        <w:rPr>
          <w:rFonts w:ascii="Times New Roman;Times;serif" w:hAnsi="Times New Roman;Times;serif"/>
          <w:b/>
          <w:color w:val="000000"/>
          <w:sz w:val="24"/>
        </w:rPr>
        <w:t>$7,191,515.52</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Term:  Three Years</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Maturity Date:  October 9, 2027</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Location:  Orlando, Florida</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Date:  October 10, 2024</w:t>
      </w:r>
    </w:p>
    <w:p>
      <w:pPr>
        <w:pStyle w:val="TextBody"/>
        <w:bidi w:val="0"/>
        <w:spacing w:before="0" w:after="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w:t>
      </w:r>
      <w:r>
        <w:rPr>
          <w:rFonts w:ascii="Times New Roman;Times;serif" w:hAnsi="Times New Roman;Times;serif"/>
          <w:color w:val="000000"/>
          <w:sz w:val="20"/>
        </w:rPr>
        <w:t> </w:t>
      </w:r>
      <w:r>
        <w:rPr>
          <w:rFonts w:ascii="Times New Roman;Times;serif" w:hAnsi="Times New Roman;Times;serif"/>
          <w:b/>
          <w:color w:val="000000"/>
          <w:sz w:val="24"/>
          <w:u w:val="single"/>
        </w:rPr>
        <w:t>Agreement to Pay</w:t>
      </w:r>
      <w:r>
        <w:rPr>
          <w:rFonts w:ascii="Times New Roman;Times;serif" w:hAnsi="Times New Roman;Times;serif"/>
          <w:color w:val="000000"/>
          <w:sz w:val="24"/>
        </w:rPr>
        <w:t>.   </w:t>
      </w:r>
      <w:r>
        <w:rPr>
          <w:rFonts w:ascii="Times New Roman;Times;serif" w:hAnsi="Times New Roman;Times;serif"/>
          <w:b/>
          <w:color w:val="000000"/>
          <w:sz w:val="24"/>
        </w:rPr>
        <w:t>FOR VALUE RECEIVED</w:t>
      </w:r>
      <w:r>
        <w:rPr>
          <w:rFonts w:ascii="Times New Roman;Times;serif" w:hAnsi="Times New Roman;Times;serif"/>
          <w:color w:val="000000"/>
          <w:sz w:val="24"/>
        </w:rPr>
        <w:t>, the undersigned, </w:t>
      </w:r>
      <w:r>
        <w:rPr>
          <w:rFonts w:ascii="Times New Roman;Times;serif" w:hAnsi="Times New Roman;Times;serif"/>
          <w:b/>
          <w:color w:val="000000"/>
          <w:sz w:val="24"/>
        </w:rPr>
        <w:t>PARNAS HILLS, LLC.,</w:t>
      </w:r>
      <w:r>
        <w:rPr>
          <w:rFonts w:ascii="Times New Roman;Times;serif" w:hAnsi="Times New Roman;Times;serif"/>
          <w:color w:val="000000"/>
          <w:sz w:val="24"/>
        </w:rPr>
        <w:t> a Florida limited liability company (collectively, if more than one, “</w:t>
      </w:r>
      <w:r>
        <w:rPr>
          <w:rFonts w:ascii="Times New Roman;Times;serif" w:hAnsi="Times New Roman;Times;serif"/>
          <w:b/>
          <w:color w:val="000000"/>
          <w:sz w:val="24"/>
          <w:u w:val="single"/>
        </w:rPr>
        <w:t>Borrower</w:t>
      </w:r>
      <w:r>
        <w:rPr>
          <w:rFonts w:ascii="Times New Roman;Times;serif" w:hAnsi="Times New Roman;Times;serif"/>
          <w:color w:val="000000"/>
          <w:sz w:val="24"/>
        </w:rPr>
        <w:t>”), whose mailing address is 2804 Dawley Ave., Orlando, FL 32806, hereby agrees and promises to pay to the order of </w:t>
      </w:r>
      <w:r>
        <w:rPr>
          <w:rFonts w:ascii="Times New Roman;Times;serif" w:hAnsi="Times New Roman;Times;serif"/>
          <w:b/>
          <w:color w:val="000000"/>
          <w:sz w:val="24"/>
        </w:rPr>
        <w:t>LIQIDMETAL TECHNOLOGY LIMITED</w:t>
      </w:r>
      <w:r>
        <w:rPr>
          <w:rFonts w:ascii="Times New Roman;Times;serif" w:hAnsi="Times New Roman;Times;serif"/>
          <w:color w:val="000000"/>
          <w:sz w:val="24"/>
        </w:rPr>
        <w:t>, a Hong Kong corporation, its endorsees, successors and assigns (“</w:t>
      </w:r>
      <w:r>
        <w:rPr>
          <w:rFonts w:ascii="Times New Roman;Times;serif" w:hAnsi="Times New Roman;Times;serif"/>
          <w:b/>
          <w:color w:val="000000"/>
          <w:sz w:val="24"/>
          <w:u w:val="single"/>
        </w:rPr>
        <w:t>Lender</w:t>
      </w:r>
      <w:r>
        <w:rPr>
          <w:rFonts w:ascii="Times New Roman;Times;serif" w:hAnsi="Times New Roman;Times;serif"/>
          <w:color w:val="000000"/>
          <w:sz w:val="24"/>
        </w:rPr>
        <w:t>”), at its principal office and mailing address at Room 906, Tai Tung building, 8 Fleming Road, Wanchai, Hong Kong, or such other place as Lender may from time to time designate, the principal sum of Seven Million One Hundred and Ninety-One Thousand Five Hundred and Fifteen Dollars and Fifty-Two Cents ($7,191,515.52) (“Loan”), together with interest on the unpaid principal balance at the rates provided for herein, payable in lawful money of the United States of America which shall be legal tender for public and private debts at the time of payment.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w:t>
      </w:r>
      <w:r>
        <w:rPr>
          <w:rFonts w:ascii="Times New Roman;Times;serif" w:hAnsi="Times New Roman;Times;serif"/>
          <w:color w:val="000000"/>
          <w:sz w:val="20"/>
        </w:rPr>
        <w:t> </w:t>
      </w:r>
      <w:r>
        <w:rPr>
          <w:rFonts w:ascii="Times New Roman;Times;serif" w:hAnsi="Times New Roman;Times;serif"/>
          <w:b/>
          <w:color w:val="000000"/>
          <w:sz w:val="24"/>
          <w:u w:val="single"/>
        </w:rPr>
        <w:t>Interest Rate</w:t>
      </w:r>
      <w:r>
        <w:rPr>
          <w:rFonts w:ascii="Times New Roman;Times;serif" w:hAnsi="Times New Roman;Times;serif"/>
          <w:color w:val="000000"/>
          <w:sz w:val="24"/>
        </w:rPr>
        <w:t>.   The outstanding principal balance hereof shall bear interest at the rate of five percent (5.00%) per annum (“</w:t>
      </w:r>
      <w:r>
        <w:rPr>
          <w:rFonts w:ascii="Times New Roman;Times;serif" w:hAnsi="Times New Roman;Times;serif"/>
          <w:b/>
          <w:color w:val="000000"/>
          <w:sz w:val="24"/>
          <w:u w:val="single"/>
        </w:rPr>
        <w:t>Regular Rate</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3.</w:t>
      </w:r>
      <w:r>
        <w:rPr>
          <w:rFonts w:ascii="Times New Roman;Times;serif" w:hAnsi="Times New Roman;Times;serif"/>
          <w:color w:val="000000"/>
          <w:sz w:val="20"/>
        </w:rPr>
        <w:t> </w:t>
      </w:r>
      <w:r>
        <w:rPr>
          <w:rFonts w:ascii="Times New Roman;Times;serif" w:hAnsi="Times New Roman;Times;serif"/>
          <w:b/>
          <w:color w:val="000000"/>
          <w:sz w:val="24"/>
          <w:u w:val="single"/>
        </w:rPr>
        <w:t>Monthly Payments</w:t>
      </w:r>
      <w:r>
        <w:rPr>
          <w:rFonts w:ascii="Times New Roman;Times;serif" w:hAnsi="Times New Roman;Times;serif"/>
          <w:color w:val="000000"/>
          <w:sz w:val="24"/>
        </w:rPr>
        <w:t>.   Principal and interest upon this Promissory Note shall be paid as follows:</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a.</w:t>
      </w:r>
      <w:r>
        <w:rPr>
          <w:rFonts w:ascii="Times New Roman;Times;serif" w:hAnsi="Times New Roman;Times;serif"/>
          <w:color w:val="000000"/>
          <w:sz w:val="20"/>
        </w:rPr>
        <w:t> </w:t>
      </w:r>
      <w:r>
        <w:rPr>
          <w:rFonts w:ascii="Times New Roman;Times;serif" w:hAnsi="Times New Roman;Times;serif"/>
          <w:b/>
          <w:color w:val="000000"/>
          <w:sz w:val="24"/>
          <w:u w:val="single"/>
        </w:rPr>
        <w:t>Principal</w:t>
      </w:r>
      <w:r>
        <w:rPr>
          <w:rFonts w:ascii="Times New Roman;Times;serif" w:hAnsi="Times New Roman;Times;serif"/>
          <w:color w:val="000000"/>
          <w:sz w:val="24"/>
        </w:rPr>
        <w:t>.  Any payments paid by Borrower and received by Lender before the maturity of the Loan shall be credited to the Principal of the Loan.</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b.</w:t>
      </w:r>
      <w:r>
        <w:rPr>
          <w:rFonts w:ascii="Times New Roman;Times;serif" w:hAnsi="Times New Roman;Times;serif"/>
          <w:color w:val="000000"/>
          <w:sz w:val="20"/>
        </w:rPr>
        <w:t> </w:t>
      </w:r>
      <w:r>
        <w:rPr>
          <w:rFonts w:ascii="Times New Roman;Times;serif" w:hAnsi="Times New Roman;Times;serif"/>
          <w:b/>
          <w:color w:val="000000"/>
          <w:sz w:val="24"/>
          <w:u w:val="single"/>
        </w:rPr>
        <w:t>Interest</w:t>
      </w:r>
      <w:r>
        <w:rPr>
          <w:rFonts w:ascii="Times New Roman;Times;serif" w:hAnsi="Times New Roman;Times;serif"/>
          <w:color w:val="000000"/>
          <w:sz w:val="24"/>
        </w:rPr>
        <w:t>.  All interest shall be payable at the maturity of the Loan.  Any interests associated with the principal of the Loan that has been repaid by the maturity date of the Loan shall be waived.</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c.</w:t>
      </w:r>
      <w:r>
        <w:rPr>
          <w:rFonts w:ascii="Times New Roman;Times;serif" w:hAnsi="Times New Roman;Times;serif"/>
          <w:color w:val="000000"/>
          <w:sz w:val="20"/>
        </w:rPr>
        <w:t> </w:t>
      </w:r>
      <w:r>
        <w:rPr>
          <w:rFonts w:ascii="Times New Roman;Times;serif" w:hAnsi="Times New Roman;Times;serif"/>
          <w:b/>
          <w:color w:val="000000"/>
          <w:sz w:val="24"/>
          <w:u w:val="single"/>
        </w:rPr>
        <w:t>Default Interest</w:t>
      </w:r>
      <w:r>
        <w:rPr>
          <w:rFonts w:ascii="Times New Roman;Times;serif" w:hAnsi="Times New Roman;Times;serif"/>
          <w:color w:val="000000"/>
          <w:sz w:val="24"/>
        </w:rPr>
        <w:t>.  Any interest associated with the outstanding principal of the Loan after the maturity date of the loan shall bear interest at the rate of fifteen percent (15.00%) per annum (“</w:t>
      </w:r>
      <w:r>
        <w:rPr>
          <w:rFonts w:ascii="Times New Roman;Times;serif" w:hAnsi="Times New Roman;Times;serif"/>
          <w:b/>
          <w:color w:val="000000"/>
          <w:sz w:val="24"/>
          <w:u w:val="single"/>
        </w:rPr>
        <w:t>Default Rate</w:t>
      </w:r>
      <w:r>
        <w:rPr>
          <w:rFonts w:ascii="Times New Roman;Times;serif" w:hAnsi="Times New Roman;Times;serif"/>
          <w:color w:val="000000"/>
          <w:sz w:val="24"/>
        </w:rPr>
        <w:t>”).</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d.</w:t>
      </w:r>
      <w:r>
        <w:rPr>
          <w:rFonts w:ascii="Times New Roman;Times;serif" w:hAnsi="Times New Roman;Times;serif"/>
          <w:color w:val="000000"/>
          <w:sz w:val="20"/>
        </w:rPr>
        <w:t> </w:t>
      </w:r>
      <w:r>
        <w:rPr>
          <w:rFonts w:ascii="Times New Roman;Times;serif" w:hAnsi="Times New Roman;Times;serif"/>
          <w:b/>
          <w:color w:val="000000"/>
          <w:sz w:val="24"/>
          <w:u w:val="single"/>
        </w:rPr>
        <w:t>Balloon Payment</w:t>
      </w:r>
      <w:r>
        <w:rPr>
          <w:rFonts w:ascii="Times New Roman;Times;serif" w:hAnsi="Times New Roman;Times;serif"/>
          <w:color w:val="000000"/>
          <w:sz w:val="24"/>
        </w:rPr>
        <w:t>.   This is a balloon note and the principal and the interest of the Loan is expected to be paid on the maturity date of the Loan.  If the Loan is not fully repaid by Borrower on the maturity date of the Loan, the accrued interest shall be added to the principal of the Loan.</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e.</w:t>
      </w:r>
      <w:r>
        <w:rPr>
          <w:rFonts w:ascii="Times New Roman;Times;serif" w:hAnsi="Times New Roman;Times;serif"/>
          <w:color w:val="000000"/>
          <w:sz w:val="20"/>
        </w:rPr>
        <w:t> </w:t>
      </w:r>
      <w:r>
        <w:rPr>
          <w:rFonts w:ascii="Times New Roman;Times;serif" w:hAnsi="Times New Roman;Times;serif"/>
          <w:b/>
          <w:color w:val="000000"/>
          <w:sz w:val="24"/>
          <w:u w:val="single"/>
        </w:rPr>
        <w:t>Payment Method</w:t>
      </w:r>
      <w:r>
        <w:rPr>
          <w:rFonts w:ascii="Times New Roman;Times;serif" w:hAnsi="Times New Roman;Times;serif"/>
          <w:color w:val="000000"/>
          <w:sz w:val="24"/>
        </w:rPr>
        <w:t>.    Payments under this Promissory Note shall be made by preauthorized Automated Clearinghouse transactions (“</w:t>
      </w:r>
      <w:r>
        <w:rPr>
          <w:rFonts w:ascii="Times New Roman;Times;serif" w:hAnsi="Times New Roman;Times;serif"/>
          <w:b/>
          <w:color w:val="000000"/>
          <w:sz w:val="24"/>
        </w:rPr>
        <w:t>ACH</w:t>
      </w:r>
      <w:r>
        <w:rPr>
          <w:rFonts w:ascii="Times New Roman;Times;serif" w:hAnsi="Times New Roman;Times;serif"/>
          <w:color w:val="000000"/>
          <w:sz w:val="24"/>
        </w:rPr>
        <w:t>”) or by</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such other reasonable method as Lender directs, to such bank account or other place as Lender may from time to time designate to Borrower in writing.</w:t>
      </w:r>
    </w:p>
    <w:p>
      <w:pPr>
        <w:pStyle w:val="TextBody"/>
        <w:bidi w:val="0"/>
        <w:spacing w:lineRule="auto" w:line="240" w:before="240" w:after="283"/>
        <w:ind w:left="0" w:right="0" w:hanging="0"/>
        <w:jc w:val="left"/>
        <w:rPr>
          <w:color w:val="000000"/>
        </w:rPr>
      </w:pPr>
      <w:r>
        <w:rPr>
          <w:color w:val="000000"/>
        </w:rPr>
        <w:t xml:space="preserve">            </w:t>
      </w:r>
      <w:r>
        <w:rPr>
          <w:rFonts w:ascii="Times New Roman;Times;serif" w:hAnsi="Times New Roman;Times;serif"/>
          <w:b/>
          <w:color w:val="000000"/>
          <w:sz w:val="24"/>
        </w:rPr>
        <w:t>f.</w:t>
      </w:r>
      <w:r>
        <w:rPr>
          <w:rFonts w:ascii="Times New Roman;Times;serif" w:hAnsi="Times New Roman;Times;serif"/>
          <w:color w:val="000000"/>
          <w:sz w:val="20"/>
        </w:rPr>
        <w:t> </w:t>
      </w:r>
      <w:r>
        <w:rPr>
          <w:rFonts w:ascii="Times New Roman;Times;serif" w:hAnsi="Times New Roman;Times;serif"/>
          <w:b/>
          <w:color w:val="000000"/>
          <w:sz w:val="24"/>
          <w:u w:val="single"/>
        </w:rPr>
        <w:t>Application of Payments</w:t>
      </w:r>
      <w:r>
        <w:rPr>
          <w:rFonts w:ascii="Times New Roman;Times;serif" w:hAnsi="Times New Roman;Times;serif"/>
          <w:color w:val="000000"/>
          <w:sz w:val="24"/>
        </w:rPr>
        <w:t>.   All payments shall be applied first (1st) to principal of the Loan, second (2nd) to accrued interest at the Regular Rate on the outstanding amount of the principal, and third (3rd) to accrued interest at the Default Rate on the outstanding amount of the principal.</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4.</w:t>
      </w:r>
      <w:r>
        <w:rPr>
          <w:rFonts w:ascii="Times New Roman;Times;serif" w:hAnsi="Times New Roman;Times;serif"/>
          <w:color w:val="000000"/>
          <w:sz w:val="20"/>
        </w:rPr>
        <w:t> </w:t>
      </w:r>
      <w:r>
        <w:rPr>
          <w:rFonts w:ascii="Times New Roman;Times;serif" w:hAnsi="Times New Roman;Times;serif"/>
          <w:b/>
          <w:color w:val="000000"/>
          <w:sz w:val="24"/>
          <w:u w:val="single"/>
        </w:rPr>
        <w:t>Late Charge</w:t>
      </w:r>
      <w:r>
        <w:rPr>
          <w:rFonts w:ascii="Times New Roman;Times;serif" w:hAnsi="Times New Roman;Times;serif"/>
          <w:color w:val="000000"/>
          <w:sz w:val="24"/>
        </w:rPr>
        <w:t>.   There is no Late Charge fees associated with the payment of the Loan by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5.</w:t>
      </w:r>
      <w:r>
        <w:rPr>
          <w:rFonts w:ascii="Times New Roman;Times;serif" w:hAnsi="Times New Roman;Times;serif"/>
          <w:color w:val="000000"/>
          <w:sz w:val="20"/>
        </w:rPr>
        <w:t> </w:t>
      </w:r>
      <w:r>
        <w:rPr>
          <w:rFonts w:ascii="Times New Roman;Times;serif" w:hAnsi="Times New Roman;Times;serif"/>
          <w:b/>
          <w:color w:val="000000"/>
          <w:sz w:val="24"/>
          <w:u w:val="single"/>
        </w:rPr>
        <w:t>Default</w:t>
      </w:r>
      <w:r>
        <w:rPr>
          <w:rFonts w:ascii="Times New Roman;Times;serif" w:hAnsi="Times New Roman;Times;serif"/>
          <w:color w:val="000000"/>
          <w:sz w:val="24"/>
        </w:rPr>
        <w:t>.   Borrower is in Default if Borrower fails to pay off all the outstanding balance of the Loan at the maturity of the Loan.  Upon the occurrence Default, the entire unpaid principal balance together with accrued interest thereon at the Regular Rate and all other obligations arising under this Promissory Note, shall become, without notice, immediately due and payable at the option of Lender.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6.</w:t>
      </w:r>
      <w:r>
        <w:rPr>
          <w:rFonts w:ascii="Times New Roman;Times;serif" w:hAnsi="Times New Roman;Times;serif"/>
          <w:color w:val="000000"/>
          <w:sz w:val="20"/>
        </w:rPr>
        <w:t> </w:t>
      </w:r>
      <w:r>
        <w:rPr>
          <w:rFonts w:ascii="Times New Roman;Times;serif" w:hAnsi="Times New Roman;Times;serif"/>
          <w:b/>
          <w:color w:val="000000"/>
          <w:sz w:val="24"/>
          <w:u w:val="single"/>
        </w:rPr>
        <w:t>Lender Fees and Expenses</w:t>
      </w:r>
      <w:r>
        <w:rPr>
          <w:rFonts w:ascii="Times New Roman;Times;serif" w:hAnsi="Times New Roman;Times;serif"/>
          <w:color w:val="000000"/>
          <w:sz w:val="24"/>
        </w:rPr>
        <w:t>.   Borrower agrees to pay to Lender, immediately upon written notice from Lender, all actual costs, expenses, disbursements, and legal fees and expenses incurred by Lender and its counsel in connection with: (a) the collection, attempted collection, or negotiation and documentation of any settlement or workout of any payment due hereunder, and (b) any suit or proceeding whatsoever in regard to this Promissory Note, including, without limitation, in connection with any litigation, mediation, bankruptcy or administrative proceeding, and including any appellate proceeding in connection therewith. It is the intent of the parties that Borrower pay all expenses and attorneys’ fees incurred by Lender as a result of Lender’s entering into the loan transaction evidenced by this Promissory Note.</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7.</w:t>
      </w:r>
      <w:r>
        <w:rPr>
          <w:rFonts w:ascii="Times New Roman;Times;serif" w:hAnsi="Times New Roman;Times;serif"/>
          <w:color w:val="000000"/>
          <w:sz w:val="20"/>
        </w:rPr>
        <w:t> </w:t>
      </w:r>
      <w:r>
        <w:rPr>
          <w:rFonts w:ascii="Times New Roman;Times;serif" w:hAnsi="Times New Roman;Times;serif"/>
          <w:b/>
          <w:color w:val="000000"/>
          <w:sz w:val="24"/>
          <w:u w:val="single"/>
        </w:rPr>
        <w:t>Time of the Essence</w:t>
      </w:r>
      <w:r>
        <w:rPr>
          <w:rFonts w:ascii="Times New Roman;Times;serif" w:hAnsi="Times New Roman;Times;serif"/>
          <w:color w:val="000000"/>
          <w:sz w:val="24"/>
        </w:rPr>
        <w:t>.   Time is of the essence with regard to the performance of the obligations of Borrower in this Promissory Note and each and every term, covenant and condition herein by or applicable to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8.</w:t>
      </w:r>
      <w:r>
        <w:rPr>
          <w:rFonts w:ascii="Times New Roman;Times;serif" w:hAnsi="Times New Roman;Times;serif"/>
          <w:color w:val="000000"/>
          <w:sz w:val="20"/>
        </w:rPr>
        <w:t> </w:t>
      </w:r>
      <w:r>
        <w:rPr>
          <w:rFonts w:ascii="Times New Roman;Times;serif" w:hAnsi="Times New Roman;Times;serif"/>
          <w:b/>
          <w:color w:val="000000"/>
          <w:sz w:val="24"/>
          <w:u w:val="single"/>
        </w:rPr>
        <w:t>Governing Law</w:t>
      </w:r>
      <w:r>
        <w:rPr>
          <w:rFonts w:ascii="Times New Roman;Times;serif" w:hAnsi="Times New Roman;Times;serif"/>
          <w:color w:val="000000"/>
          <w:sz w:val="24"/>
        </w:rPr>
        <w:t>.   This Promissory Note and the rights and obligations of all parties hereunder shall be governed by and construed in accordance with the laws of the State of Florida.</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9.</w:t>
      </w:r>
      <w:r>
        <w:rPr>
          <w:rFonts w:ascii="Times New Roman;Times;serif" w:hAnsi="Times New Roman;Times;serif"/>
          <w:color w:val="000000"/>
          <w:sz w:val="20"/>
        </w:rPr>
        <w:t> </w:t>
      </w:r>
      <w:r>
        <w:rPr>
          <w:rFonts w:ascii="Times New Roman;Times;serif" w:hAnsi="Times New Roman;Times;serif"/>
          <w:b/>
          <w:color w:val="000000"/>
          <w:sz w:val="24"/>
          <w:u w:val="single"/>
        </w:rPr>
        <w:t>Jurisdiction</w:t>
      </w:r>
      <w:r>
        <w:rPr>
          <w:rFonts w:ascii="Times New Roman;Times;serif" w:hAnsi="Times New Roman;Times;serif"/>
          <w:color w:val="000000"/>
          <w:sz w:val="24"/>
        </w:rPr>
        <w:t>.   The parties hereto irrevocably (a) agree that any suit, action or other legal proceeding arising out of or relating to this Promissory Note shall be brought in a court of record of the State of Florida sitting in Miami-Dade County, Florida, or in the courts of the United States of America located in such county and state, (b) agree to the exclusive jurisdiction of such court in any suit, action or proceeding, and (c) waive any objection which it may have to the laying of venue of any such suit, action or proceeding in such courts and any claim that any such suit, action or proceeding has been brought in an inconvenient forum.</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10.</w:t>
      </w:r>
      <w:r>
        <w:rPr>
          <w:rFonts w:ascii="Times New Roman;Times;serif" w:hAnsi="Times New Roman;Times;serif"/>
          <w:color w:val="000000"/>
          <w:sz w:val="20"/>
        </w:rPr>
        <w:t> </w:t>
      </w:r>
      <w:r>
        <w:rPr>
          <w:rFonts w:ascii="Times New Roman;Times;serif" w:hAnsi="Times New Roman;Times;serif"/>
          <w:b/>
          <w:color w:val="000000"/>
          <w:sz w:val="24"/>
          <w:u w:val="single"/>
        </w:rPr>
        <w:t>Interest Limitation</w:t>
      </w:r>
      <w:r>
        <w:rPr>
          <w:rFonts w:ascii="Times New Roman;Times;serif" w:hAnsi="Times New Roman;Times;serif"/>
          <w:color w:val="000000"/>
          <w:sz w:val="24"/>
        </w:rPr>
        <w:t>. All agreements between Borrower and Lender are hereby expressly limited so that in no contingency or event whatsoever shall the amount paid or agreed to be paid to Lender for the use, forbearance, loaning or detention of the indebtedness evidenced</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hereby exceed the maximum permissible under applicable law. If from any circumstances whatsoever, fulfillment of any provisions of this Promissory Note at any time given shall exceed the maximum permissible under applicable law, then, the obligation to be fulfilled shall automatically be reduced to an amount which complies with applicable law, and if from any circumstances Lender should ever receive as interest an amount which would exceed the highest lawful rate of interest, such amount which would be in excess of such lawful rate of interest shall be applied to the reduction of the principal balance evidenced hereby and not to the payment of interest. This provision shall control every other provision of all agreements between Borrower and Lender and shall also be binding upon and available to any subsequent holder of this Promissory Note. All sums paid or agreed to be paid to Lender for the use, forbearance, or detention of the indebtedness evidenced hereby, shall, to the extent permitted by applicable law, be amortized, prorated, allocated, and spread throughout the full stated term of this Promissory Note until payment in full so that the rate or amount of interest on account of the indebtedness evidenced hereby does not exceed the maximum lawful rate of interest from time to time in effect and applicable to the indebtedness evidenced hereby for so long as such indebtedness is outstanding.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11.</w:t>
      </w:r>
      <w:r>
        <w:rPr>
          <w:rFonts w:ascii="Times New Roman;Times;serif" w:hAnsi="Times New Roman;Times;serif"/>
          <w:color w:val="000000"/>
          <w:sz w:val="20"/>
        </w:rPr>
        <w:t> </w:t>
      </w:r>
      <w:r>
        <w:rPr>
          <w:rFonts w:ascii="Times New Roman;Times;serif" w:hAnsi="Times New Roman;Times;serif"/>
          <w:b/>
          <w:color w:val="000000"/>
          <w:sz w:val="24"/>
          <w:u w:val="single"/>
        </w:rPr>
        <w:t>Waivers</w:t>
      </w:r>
      <w:r>
        <w:rPr>
          <w:rFonts w:ascii="Times New Roman;Times;serif" w:hAnsi="Times New Roman;Times;serif"/>
          <w:color w:val="000000"/>
          <w:sz w:val="24"/>
        </w:rPr>
        <w:t>.</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color w:val="000000"/>
          <w:sz w:val="24"/>
        </w:rPr>
        <w:t>a.</w:t>
      </w:r>
      <w:r>
        <w:rPr>
          <w:rFonts w:ascii="Times New Roman;Times;serif" w:hAnsi="Times New Roman;Times;serif"/>
          <w:color w:val="000000"/>
          <w:sz w:val="20"/>
        </w:rPr>
        <w:t> </w:t>
      </w:r>
      <w:r>
        <w:rPr>
          <w:rFonts w:ascii="Times New Roman;Times;serif" w:hAnsi="Times New Roman;Times;serif"/>
          <w:color w:val="000000"/>
          <w:sz w:val="24"/>
        </w:rPr>
        <w:t>Borrower and all persons or entities liable for all or part of the principal balance evidenced by this Promissory Note severally hereby waive presentment for payment, protest, notice of non-payment and notice of dishonor.</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color w:val="000000"/>
          <w:sz w:val="24"/>
        </w:rPr>
        <w:t>b.</w:t>
      </w:r>
      <w:r>
        <w:rPr>
          <w:rFonts w:ascii="Times New Roman;Times;serif" w:hAnsi="Times New Roman;Times;serif"/>
          <w:color w:val="000000"/>
          <w:sz w:val="20"/>
        </w:rPr>
        <w:t> </w:t>
      </w:r>
      <w:r>
        <w:rPr>
          <w:rFonts w:ascii="Times New Roman;Times;serif" w:hAnsi="Times New Roman;Times;serif"/>
          <w:color w:val="000000"/>
          <w:sz w:val="24"/>
        </w:rPr>
        <w:t>Borrower and all persons and entities liable for all or part of the principal balance evidenced by this Promissory Note hereby consent, without affecting their liability, to the granting, with or without notice, of any extension or alteration of time for payment of any sum or sums due hereunder or for the performance of any covenant, condition or agreement contained herein or therein, or the taking or releasing or subordinating of any security for the indebtedness evidenced hereby, or the acceptance of additional security of any kind, or any other modification or amendment of this Promissory Note, any release of, or resort to any party liable for payment hereof, and agree that such action will in no way release or discharge the liability of such parties, whether or not granted or done with the knowledge or consent of such parties.</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color w:val="000000"/>
          <w:sz w:val="24"/>
        </w:rPr>
        <w:t>c.</w:t>
      </w:r>
      <w:r>
        <w:rPr>
          <w:rFonts w:ascii="Times New Roman;Times;serif" w:hAnsi="Times New Roman;Times;serif"/>
          <w:color w:val="000000"/>
          <w:sz w:val="20"/>
        </w:rPr>
        <w:t> </w:t>
      </w:r>
      <w:r>
        <w:rPr>
          <w:rFonts w:ascii="Times New Roman;Times;serif" w:hAnsi="Times New Roman;Times;serif"/>
          <w:color w:val="000000"/>
          <w:sz w:val="24"/>
        </w:rPr>
        <w:t>Borrower and all persons and entities liable for all or a part of the principal balance evidenced by this Promissory Note hereby waive and renounce, to the extent permitted by applicable law, all rights to the benefits of any statute of limitations and any moratorium, reinstatement, marshalling, forbearance, valuation, stay, extension, redemption and appraisement now provided, or which may hereafter be provided, by the Constitution or laws of the United States of America or the state or commonwealth in which the Borrower is located against the enforcement and collection of the obligations evidenced by this Promissory Note.</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12.</w:t>
      </w:r>
      <w:r>
        <w:rPr>
          <w:rFonts w:ascii="Times New Roman;Times;serif" w:hAnsi="Times New Roman;Times;serif"/>
          <w:color w:val="000000"/>
          <w:sz w:val="20"/>
        </w:rPr>
        <w:t> </w:t>
      </w:r>
      <w:r>
        <w:rPr>
          <w:rFonts w:ascii="Times New Roman;Times;serif" w:hAnsi="Times New Roman;Times;serif"/>
          <w:b/>
          <w:color w:val="000000"/>
          <w:sz w:val="24"/>
          <w:u w:val="single"/>
        </w:rPr>
        <w:t>Borrower Not Released</w:t>
      </w:r>
      <w:r>
        <w:rPr>
          <w:rFonts w:ascii="Times New Roman;Times;serif" w:hAnsi="Times New Roman;Times;serif"/>
          <w:color w:val="000000"/>
          <w:sz w:val="24"/>
        </w:rPr>
        <w:t>.  No delay or omission of Lender to exercise any of its rights and remedies under this Promissory Note at any time following the happening of Default shall constitute a waiver of the right of Lender to exercise such rights and remedies at a later time by reason of Default or by reason of any subsequently occurring Default. The acceptance by Lender of payment of any sum payable hereunder after the due date of such payment shall not be a waiver of Lender’s right to either require prompt payment when due of all other sums payable hereunder or to declare a default for failure to make prompt payment.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13.</w:t>
      </w:r>
      <w:r>
        <w:rPr>
          <w:rFonts w:ascii="Times New Roman;Times;serif" w:hAnsi="Times New Roman;Times;serif"/>
          <w:color w:val="000000"/>
          <w:sz w:val="20"/>
        </w:rPr>
        <w:t> </w:t>
      </w:r>
      <w:r>
        <w:rPr>
          <w:rFonts w:ascii="Times New Roman;Times;serif" w:hAnsi="Times New Roman;Times;serif"/>
          <w:b/>
          <w:color w:val="000000"/>
          <w:sz w:val="24"/>
          <w:u w:val="single"/>
        </w:rPr>
        <w:t>Disbursement</w:t>
      </w:r>
      <w:r>
        <w:rPr>
          <w:rFonts w:ascii="Times New Roman;Times;serif" w:hAnsi="Times New Roman;Times;serif"/>
          <w:color w:val="000000"/>
          <w:sz w:val="24"/>
        </w:rPr>
        <w:t>.  Funds representing the proceeds of the indebtedness evidenced hereby shall not be disbursed to Borrower, but shall be used by Borrower to purchase Forty-Four Million Nine Hundred Forty-Six Thousand Nine Hundred and Seventy-Two (44,946,972) shares of Liquid Metal Technologies, Inc. (“LQMT”) from Lender.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14.</w:t>
      </w:r>
      <w:r>
        <w:rPr>
          <w:rFonts w:ascii="Times New Roman;Times;serif" w:hAnsi="Times New Roman;Times;serif"/>
          <w:color w:val="000000"/>
          <w:sz w:val="20"/>
        </w:rPr>
        <w:t> </w:t>
      </w:r>
      <w:r>
        <w:rPr>
          <w:rFonts w:ascii="Times New Roman;Times;serif" w:hAnsi="Times New Roman;Times;serif"/>
          <w:b/>
          <w:color w:val="000000"/>
          <w:sz w:val="24"/>
          <w:u w:val="single"/>
        </w:rPr>
        <w:t>Note Controls</w:t>
      </w:r>
      <w:r>
        <w:rPr>
          <w:rFonts w:ascii="Times New Roman;Times;serif" w:hAnsi="Times New Roman;Times;serif"/>
          <w:color w:val="000000"/>
          <w:sz w:val="24"/>
        </w:rPr>
        <w:t>.  In the event of any inconsistency between the provisions of this Promissory Note and those of Stock Purchase Agreement, the provisions of this Promissory Note shall control over those of Stock Purchase Agreement.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15.</w:t>
      </w:r>
      <w:r>
        <w:rPr>
          <w:rFonts w:ascii="Times New Roman;Times;serif" w:hAnsi="Times New Roman;Times;serif"/>
          <w:color w:val="000000"/>
          <w:sz w:val="20"/>
        </w:rPr>
        <w:t> </w:t>
      </w:r>
      <w:r>
        <w:rPr>
          <w:rFonts w:ascii="Times New Roman;Times;serif" w:hAnsi="Times New Roman;Times;serif"/>
          <w:b/>
          <w:color w:val="000000"/>
          <w:sz w:val="24"/>
          <w:u w:val="single"/>
        </w:rPr>
        <w:t>Notices</w:t>
      </w:r>
      <w:r>
        <w:rPr>
          <w:rFonts w:ascii="Times New Roman;Times;serif" w:hAnsi="Times New Roman;Times;serif"/>
          <w:color w:val="000000"/>
          <w:sz w:val="24"/>
        </w:rPr>
        <w:t>.  All notices required or permitted to be given hereunder to Borrower or Lender shall be given in the manner and to the place as provided by the parties from time to time in writing.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16.</w:t>
      </w:r>
      <w:r>
        <w:rPr>
          <w:rFonts w:ascii="Times New Roman;Times;serif" w:hAnsi="Times New Roman;Times;serif"/>
          <w:color w:val="000000"/>
          <w:sz w:val="20"/>
        </w:rPr>
        <w:t> </w:t>
      </w:r>
      <w:r>
        <w:rPr>
          <w:rFonts w:ascii="Times New Roman;Times;serif" w:hAnsi="Times New Roman;Times;serif"/>
          <w:b/>
          <w:color w:val="000000"/>
          <w:sz w:val="24"/>
          <w:u w:val="single"/>
        </w:rPr>
        <w:t>Severability</w:t>
      </w:r>
      <w:r>
        <w:rPr>
          <w:rFonts w:ascii="Times New Roman;Times;serif" w:hAnsi="Times New Roman;Times;serif"/>
          <w:color w:val="000000"/>
          <w:sz w:val="24"/>
        </w:rPr>
        <w:t>.   The parties hereto intend that each provision of this Promissory Note comports with all applicable local, state and federal laws and judicial decisions. However, if any provision or any portion of any provision contained in this Promissory Note is held by a court of law to be invalid, illegal, unlawful, void or unenforceable as written in any respect, then it is the intent of all parties hereto that such portion or provision shall be given force to the fullest possible extent that it is legal, valid and enforceable, that the remainder of this Promissory Note shall be construed as if such illegal, invalid, unlawful, void or unenforceable portion or provision was not contained therein, and the rights, obligations and interests of Borrower and Lender under the remainder of this Promissory Note shall continue in full force and effect.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17.</w:t>
      </w:r>
      <w:r>
        <w:rPr>
          <w:rFonts w:ascii="Times New Roman;Times;serif" w:hAnsi="Times New Roman;Times;serif"/>
          <w:color w:val="000000"/>
          <w:sz w:val="20"/>
        </w:rPr>
        <w:t> </w:t>
      </w:r>
      <w:r>
        <w:rPr>
          <w:rFonts w:ascii="Times New Roman;Times;serif" w:hAnsi="Times New Roman;Times;serif"/>
          <w:b/>
          <w:color w:val="000000"/>
          <w:sz w:val="24"/>
          <w:u w:val="single"/>
        </w:rPr>
        <w:t>Successors and Assigns</w:t>
      </w:r>
      <w:r>
        <w:rPr>
          <w:rFonts w:ascii="Times New Roman;Times;serif" w:hAnsi="Times New Roman;Times;serif"/>
          <w:color w:val="000000"/>
          <w:sz w:val="24"/>
        </w:rPr>
        <w:t>.  The provisions of this Promissory Note shall be binding upon Borrower and its successors and assigns and shall inure to the benefit of any Lender and its successors and assigns. As used herein the words “</w:t>
      </w:r>
      <w:r>
        <w:rPr>
          <w:rFonts w:ascii="Times New Roman;Times;serif" w:hAnsi="Times New Roman;Times;serif"/>
          <w:b/>
          <w:color w:val="000000"/>
          <w:sz w:val="24"/>
          <w:u w:val="single"/>
        </w:rPr>
        <w:t>successors and assigns</w:t>
      </w:r>
      <w:r>
        <w:rPr>
          <w:rFonts w:ascii="Times New Roman;Times;serif" w:hAnsi="Times New Roman;Times;serif"/>
          <w:color w:val="000000"/>
          <w:sz w:val="24"/>
        </w:rPr>
        <w:t>” shall also be deemed to include the heirs, representatives, administrators and executors of any natural person who is a party to this Promissory Note.</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18.</w:t>
      </w:r>
      <w:r>
        <w:rPr>
          <w:rFonts w:ascii="Times New Roman;Times;serif" w:hAnsi="Times New Roman;Times;serif"/>
          <w:color w:val="000000"/>
          <w:sz w:val="20"/>
        </w:rPr>
        <w:t> </w:t>
      </w:r>
      <w:r>
        <w:rPr>
          <w:rFonts w:ascii="Times New Roman;Times;serif" w:hAnsi="Times New Roman;Times;serif"/>
          <w:b/>
          <w:color w:val="000000"/>
          <w:sz w:val="24"/>
          <w:u w:val="single"/>
        </w:rPr>
        <w:t>Remedies Cumulative</w:t>
      </w:r>
      <w:r>
        <w:rPr>
          <w:rFonts w:ascii="Times New Roman;Times;serif" w:hAnsi="Times New Roman;Times;serif"/>
          <w:color w:val="000000"/>
          <w:sz w:val="24"/>
        </w:rPr>
        <w:t>.   The remedies of Lender as provided in this Promissory Note shall be cumulative and concurrent, may be pursued singly, successively or together at the sole discretion of Lender, may be exercised as often as occasion for their exercise shall occur and in no event shall the failure to exercise any such right or remedy be construed as a waiver or release of such right or remedy. No remedy under this Promissory Note conferred upon or reserved to Lender is intended to be exclusive of any other remedy provided in this Promissory Note or provided by law, but each shall be cumulative and shall be in addition to every other remedy given under this Promissory Note or now or hereafter existing at law or in equity or by statute.</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19.</w:t>
      </w:r>
      <w:r>
        <w:rPr>
          <w:rFonts w:ascii="Times New Roman;Times;serif" w:hAnsi="Times New Roman;Times;serif"/>
          <w:color w:val="000000"/>
          <w:sz w:val="20"/>
        </w:rPr>
        <w:t> </w:t>
      </w:r>
      <w:r>
        <w:rPr>
          <w:rFonts w:ascii="Times New Roman;Times;serif" w:hAnsi="Times New Roman;Times;serif"/>
          <w:b/>
          <w:color w:val="000000"/>
          <w:sz w:val="24"/>
          <w:u w:val="single"/>
        </w:rPr>
        <w:t>No Oral Modification</w:t>
      </w:r>
      <w:r>
        <w:rPr>
          <w:rFonts w:ascii="Times New Roman;Times;serif" w:hAnsi="Times New Roman;Times;serif"/>
          <w:color w:val="000000"/>
          <w:sz w:val="24"/>
        </w:rPr>
        <w:t>.  This Promissory Note may not be modified or discharged orally, but only by an agreement in writing signed by Lender and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20.</w:t>
      </w:r>
      <w:r>
        <w:rPr>
          <w:rFonts w:ascii="Times New Roman;Times;serif" w:hAnsi="Times New Roman;Times;serif"/>
          <w:color w:val="000000"/>
          <w:sz w:val="20"/>
        </w:rPr>
        <w:t> </w:t>
      </w:r>
      <w:r>
        <w:rPr>
          <w:rFonts w:ascii="Times New Roman;Times;serif" w:hAnsi="Times New Roman;Times;serif"/>
          <w:b/>
          <w:color w:val="000000"/>
          <w:sz w:val="24"/>
          <w:u w:val="single"/>
        </w:rPr>
        <w:t>Transfer of Promissory Note</w:t>
      </w:r>
      <w:r>
        <w:rPr>
          <w:rFonts w:ascii="Times New Roman;Times;serif" w:hAnsi="Times New Roman;Times;serif"/>
          <w:color w:val="000000"/>
          <w:sz w:val="24"/>
        </w:rPr>
        <w:t>.  Lender may, at any time, sell, transfer or assign this Promissory Note.</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21.</w:t>
      </w:r>
      <w:r>
        <w:rPr>
          <w:rFonts w:ascii="Times New Roman;Times;serif" w:hAnsi="Times New Roman;Times;serif"/>
          <w:color w:val="000000"/>
          <w:sz w:val="20"/>
        </w:rPr>
        <w:t> </w:t>
      </w:r>
      <w:r>
        <w:rPr>
          <w:rFonts w:ascii="Times New Roman;Times;serif" w:hAnsi="Times New Roman;Times;serif"/>
          <w:b/>
          <w:color w:val="000000"/>
          <w:sz w:val="24"/>
          <w:u w:val="single"/>
        </w:rPr>
        <w:t>Joint and Several Liability</w:t>
      </w:r>
      <w:r>
        <w:rPr>
          <w:rFonts w:ascii="Times New Roman;Times;serif" w:hAnsi="Times New Roman;Times;serif"/>
          <w:color w:val="000000"/>
          <w:sz w:val="24"/>
        </w:rPr>
        <w:t>.   In the event that this Promissory Note is made by more than one Borrower, the promises and agreements herein shall be construed to be and are hereby declared to be the joint and several promises and agreements of all Borrowers and shall constitute the joint and several obligations of each of Borrowers and shall be fully binding upon and enforceable against each of Borrowers. Neither the death nor release of any person or party to this Promissory Note shall affect or release the joint and several liability of any other person or party. Lender may at its option enforce this Promissory Note against one or all of Borrowers, and Lender shall not be required to resort to enforcement against each of Borrowers and the failure to proceed against or join any Borrower shall not affect the joint and several liability of any other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22.</w:t>
      </w:r>
      <w:r>
        <w:rPr>
          <w:rFonts w:ascii="Times New Roman;Times;serif" w:hAnsi="Times New Roman;Times;serif"/>
          <w:color w:val="000000"/>
          <w:sz w:val="20"/>
        </w:rPr>
        <w:t> </w:t>
      </w:r>
      <w:r>
        <w:rPr>
          <w:rFonts w:ascii="Times New Roman;Times;serif" w:hAnsi="Times New Roman;Times;serif"/>
          <w:b/>
          <w:color w:val="000000"/>
          <w:sz w:val="24"/>
          <w:u w:val="single"/>
        </w:rPr>
        <w:t>WAIVER OF JURY TRIAL</w:t>
      </w:r>
      <w:r>
        <w:rPr>
          <w:rFonts w:ascii="Times New Roman;Times;serif" w:hAnsi="Times New Roman;Times;serif"/>
          <w:color w:val="000000"/>
          <w:sz w:val="24"/>
        </w:rPr>
        <w:t>.   LENDER BY ITS ACCEPTANCE HEREOF AND BORROWER HEREBY VOLUNTARILY, KNOWINGLY AND INTENTIONALLY WAIVE ANY AND ALL RIGHTS TO TRIAL BY JURY IN ANY LEGAL ACTION OR PROCEEDING ARISING UNDER THIS PROMISSORY NOTE, REGARDLESS OF WHETHER SUCH ACTION OR PROCEEDING CONCERNS ANY CONTRACTUAL OR TORTIOUS OR OTHER CLAIM. BORROWER ACKNOWLEDGES THAT THIS WAIVER OF JURY TRIAL IS A MATERIAL INDUCEMENT TO LENDER IN EXTENDING CREDIT TO BORROWER, THAT LENDER WOULD NOT HAVE EXTENDED SUCH CREDIT WITHOUT THIS JURY TRIAL WAIVER, AND THAT BORROWER HAS BEEN REPRESENTED BY AN ATTORNEY OR HAS HAD AN OPPORTUNITY TO CONSULT WITH AN ATTORNEY IN CONNECTION WITH THIS JURY TRIAL WAIVER AND UNDERSTANDS THE LEGAL EFFECT OF THIS WAIVER.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23.</w:t>
      </w:r>
      <w:r>
        <w:rPr>
          <w:rFonts w:ascii="Times New Roman;Times;serif" w:hAnsi="Times New Roman;Times;serif"/>
          <w:color w:val="000000"/>
          <w:sz w:val="20"/>
        </w:rPr>
        <w:t> </w:t>
      </w:r>
      <w:r>
        <w:rPr>
          <w:rFonts w:ascii="Times New Roman;Times;serif" w:hAnsi="Times New Roman;Times;serif"/>
          <w:b/>
          <w:color w:val="000000"/>
          <w:sz w:val="24"/>
          <w:u w:val="single"/>
        </w:rPr>
        <w:t>Headings</w:t>
      </w:r>
      <w:r>
        <w:rPr>
          <w:rFonts w:ascii="Times New Roman;Times;serif" w:hAnsi="Times New Roman;Times;serif"/>
          <w:color w:val="000000"/>
          <w:sz w:val="24"/>
        </w:rPr>
        <w:t>.   The headings or captions contained in this Promissory Note are solely for convenience of reference and shall not affect its interpretation.</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240" w:after="283"/>
        <w:jc w:val="center"/>
        <w:rPr>
          <w:rFonts w:ascii="Times New Roman;Times;serif" w:hAnsi="Times New Roman;Times;serif"/>
          <w:i/>
          <w:color w:val="000000"/>
          <w:sz w:val="24"/>
        </w:rPr>
      </w:pPr>
      <w:r>
        <w:rPr>
          <w:rFonts w:ascii="Times New Roman;Times;serif" w:hAnsi="Times New Roman;Times;serif"/>
          <w:i/>
          <w:color w:val="000000"/>
          <w:sz w:val="24"/>
        </w:rPr>
        <w:t>[The remainder of this page is intentionally left blank.]</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160"/>
        <w:jc w:val="left"/>
        <w:rPr/>
      </w:pPr>
      <w:r>
        <w:rPr/>
      </w:r>
    </w:p>
    <w:p>
      <w:pPr>
        <w:pStyle w:val="TextBody"/>
        <w:bidi w:val="0"/>
        <w:spacing w:before="0" w:after="0"/>
        <w:ind w:left="0" w:right="0" w:firstLine="857"/>
        <w:jc w:val="left"/>
        <w:rPr>
          <w:rFonts w:ascii="Times New Roman;Times;serif" w:hAnsi="Times New Roman;Times;serif"/>
          <w:color w:val="000000"/>
          <w:sz w:val="24"/>
        </w:rPr>
      </w:pPr>
      <w:r>
        <w:rPr>
          <w:rFonts w:ascii="Times New Roman;Times;serif" w:hAnsi="Times New Roman;Times;serif"/>
          <w:b/>
          <w:color w:val="000000"/>
          <w:sz w:val="24"/>
        </w:rPr>
        <w:t>IN WITNESS WHEREOF</w:t>
      </w:r>
      <w:r>
        <w:rPr>
          <w:rFonts w:ascii="Times New Roman;Times;serif" w:hAnsi="Times New Roman;Times;serif"/>
          <w:color w:val="000000"/>
          <w:sz w:val="24"/>
        </w:rPr>
        <w:t>, Borrower has executed this Promissory Note as of the date and year first above written.</w:t>
      </w:r>
    </w:p>
    <w:p>
      <w:pPr>
        <w:pStyle w:val="TextBody"/>
        <w:bidi w:val="0"/>
        <w:spacing w:before="0" w:after="0"/>
        <w:ind w:left="0" w:right="0" w:firstLine="857"/>
        <w:jc w:val="left"/>
        <w:rPr>
          <w:sz w:val="24"/>
        </w:rPr>
      </w:pPr>
      <w:r>
        <w:rPr>
          <w:sz w:val="24"/>
        </w:rPr>
      </w:r>
    </w:p>
    <w:p>
      <w:pPr>
        <w:pStyle w:val="TextBody"/>
        <w:bidi w:val="0"/>
        <w:spacing w:before="0" w:after="0"/>
        <w:ind w:left="0" w:right="0" w:firstLine="857"/>
        <w:jc w:val="left"/>
        <w:rPr>
          <w:sz w:val="24"/>
        </w:rPr>
      </w:pPr>
      <w:r>
        <w:rPr>
          <w:sz w:val="24"/>
        </w:rPr>
      </w:r>
    </w:p>
    <w:tbl>
      <w:tblPr>
        <w:tblW w:w="3620" w:type="dxa"/>
        <w:jc w:val="left"/>
        <w:tblInd w:w="0" w:type="dxa"/>
        <w:tblLayout w:type="fixed"/>
        <w:tblCellMar>
          <w:top w:w="0" w:type="dxa"/>
          <w:left w:w="0" w:type="dxa"/>
          <w:bottom w:w="0" w:type="dxa"/>
          <w:right w:w="0" w:type="dxa"/>
        </w:tblCellMar>
      </w:tblPr>
      <w:tblGrid>
        <w:gridCol w:w="60"/>
        <w:gridCol w:w="3560"/>
      </w:tblGrid>
      <w:tr>
        <w:trPr/>
        <w:tc>
          <w:tcPr>
            <w:tcW w:w="6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r>
              <w:rPr>
                <w:b/>
                <w:sz w:val="24"/>
              </w:rPr>
              <w:t>PARNAS HILLS, LLC.</w:t>
            </w:r>
          </w:p>
        </w:tc>
      </w:tr>
      <w:tr>
        <w:trPr/>
        <w:tc>
          <w:tcPr>
            <w:tcW w:w="6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r>
              <w:rPr>
                <w:sz w:val="24"/>
              </w:rPr>
              <w:t>a Florida Limited Liability Company</w:t>
            </w:r>
          </w:p>
          <w:p>
            <w:pPr>
              <w:pStyle w:val="TableContents"/>
              <w:bidi w:val="0"/>
              <w:spacing w:before="0" w:after="0"/>
              <w:jc w:val="left"/>
              <w:rPr/>
            </w:pPr>
            <w:r>
              <w:rPr/>
            </w:r>
          </w:p>
          <w:p>
            <w:pPr>
              <w:pStyle w:val="TableContents"/>
              <w:bidi w:val="0"/>
              <w:spacing w:before="0" w:after="0"/>
              <w:jc w:val="left"/>
              <w:rPr/>
            </w:pPr>
            <w:r>
              <w:rPr/>
            </w:r>
          </w:p>
        </w:tc>
      </w:tr>
      <w:tr>
        <w:trPr/>
        <w:tc>
          <w:tcPr>
            <w:tcW w:w="6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r>
              <w:rPr>
                <w:sz w:val="24"/>
              </w:rPr>
              <w:t>By: ________________________</w:t>
            </w:r>
          </w:p>
        </w:tc>
      </w:tr>
      <w:tr>
        <w:trPr/>
        <w:tc>
          <w:tcPr>
            <w:tcW w:w="6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r>
              <w:rPr>
                <w:b/>
                <w:sz w:val="24"/>
              </w:rPr>
              <w:t>PAUL CARRUBBA</w:t>
            </w:r>
            <w:r>
              <w:rPr/>
              <w:t>, Manager</w:t>
            </w:r>
          </w:p>
        </w:tc>
      </w:tr>
    </w:tbl>
    <w:p>
      <w:pPr>
        <w:pStyle w:val="TextBody"/>
        <w:bidi w:val="0"/>
        <w:spacing w:before="0" w:after="0"/>
        <w:ind w:left="0" w:right="0" w:firstLine="857"/>
        <w:jc w:val="left"/>
        <w:rPr>
          <w:sz w:val="24"/>
        </w:rPr>
      </w:pPr>
      <w:r>
        <w:rPr>
          <w:sz w:val="24"/>
        </w:rPr>
      </w:r>
    </w:p>
    <w:p>
      <w:pPr>
        <w:pStyle w:val="TextBody"/>
        <w:bidi w:val="0"/>
        <w:spacing w:before="0" w:after="0"/>
        <w:ind w:left="0" w:right="0" w:firstLine="857"/>
        <w:jc w:val="left"/>
        <w:rPr>
          <w:sz w:val="24"/>
        </w:rPr>
      </w:pPr>
      <w:r>
        <w:rPr>
          <w:sz w:val="24"/>
        </w:rPr>
      </w:r>
    </w:p>
    <w:p>
      <w:pPr>
        <w:pStyle w:val="TextBody"/>
        <w:bidi w:val="0"/>
        <w:jc w:val="left"/>
        <w:rPr/>
      </w:pPr>
      <w:r>
        <w:rPr/>
      </w:r>
    </w:p>
    <w:p>
      <w:pPr>
        <w:pStyle w:val="TextBody"/>
        <w:bidi w:val="0"/>
        <w:spacing w:before="240" w:after="283"/>
        <w:ind w:left="0" w:right="0" w:firstLine="720"/>
        <w:jc w:val="right"/>
        <w:rPr>
          <w:rFonts w:ascii="Times New Roman;Times;serif" w:hAnsi="Times New Roman;Times;serif"/>
          <w:b/>
          <w:i/>
          <w:color w:val="000000"/>
          <w:sz w:val="24"/>
        </w:rPr>
      </w:pPr>
      <w:bookmarkStart w:id="20" w:name="exhibit4-4.htm"/>
      <w:bookmarkStart w:id="21" w:name="ksexhibit44"/>
      <w:bookmarkEnd w:id="20"/>
      <w:bookmarkEnd w:id="21"/>
      <w:r>
        <w:rPr>
          <w:rFonts w:ascii="Times New Roman;Times;serif" w:hAnsi="Times New Roman;Times;serif"/>
          <w:b/>
          <w:i/>
          <w:color w:val="000000"/>
          <w:sz w:val="24"/>
        </w:rPr>
        <w:t>Exhibit 4.4</w:t>
      </w:r>
      <w:r>
        <w:br w:type="page"/>
      </w:r>
    </w:p>
    <w:p>
      <w:pPr>
        <w:pStyle w:val="TextBody"/>
        <w:bidi w:val="0"/>
        <w:spacing w:before="240" w:after="283"/>
        <w:jc w:val="left"/>
        <w:rPr/>
      </w:pPr>
      <w:r>
        <w:rPr/>
      </w:r>
    </w:p>
    <w:p>
      <w:pPr>
        <w:pStyle w:val="TextBody"/>
        <w:bidi w:val="0"/>
        <w:spacing w:before="120" w:after="283"/>
        <w:ind w:left="0" w:right="0" w:firstLine="720"/>
        <w:jc w:val="center"/>
        <w:rPr>
          <w:rFonts w:ascii="Times New Roman;Times;serif" w:hAnsi="Times New Roman;Times;serif"/>
          <w:b/>
          <w:color w:val="000000"/>
          <w:sz w:val="24"/>
        </w:rPr>
      </w:pPr>
      <w:r>
        <w:rPr>
          <w:rFonts w:ascii="Times New Roman;Times;serif" w:hAnsi="Times New Roman;Times;serif"/>
          <w:b/>
          <w:color w:val="000000"/>
          <w:sz w:val="24"/>
        </w:rPr>
        <w:t>STOCK PURCHASE AGREEMENT</w:t>
      </w:r>
    </w:p>
    <w:p>
      <w:pPr>
        <w:pStyle w:val="TextBody"/>
        <w:bidi w:val="0"/>
        <w:spacing w:before="240" w:after="283"/>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THIS STOCK PURCHASE AGREEMENT (this “</w:t>
      </w:r>
      <w:r>
        <w:rPr>
          <w:rFonts w:ascii="Times New Roman;Times;serif" w:hAnsi="Times New Roman;Times;serif"/>
          <w:color w:val="000000"/>
          <w:sz w:val="24"/>
          <w:u w:val="single"/>
        </w:rPr>
        <w:t>Agreement</w:t>
      </w:r>
      <w:r>
        <w:rPr>
          <w:rFonts w:ascii="Times New Roman;Times;serif" w:hAnsi="Times New Roman;Times;serif"/>
          <w:color w:val="000000"/>
          <w:sz w:val="24"/>
        </w:rPr>
        <w:t xml:space="preserve">”) is made and entered into as of </w:t>
      </w:r>
      <w:r>
        <w:rPr>
          <w:rFonts w:ascii="Times New Roman;Times;serif" w:hAnsi="Times New Roman;Times;serif"/>
          <w:b/>
          <w:color w:val="000000"/>
          <w:sz w:val="24"/>
        </w:rPr>
        <w:t>October 10, 2024</w:t>
      </w:r>
      <w:r>
        <w:rPr>
          <w:rFonts w:ascii="Times New Roman;Times;serif" w:hAnsi="Times New Roman;Times;serif"/>
          <w:color w:val="000000"/>
          <w:sz w:val="24"/>
        </w:rPr>
        <w:t xml:space="preserve">, by and between </w:t>
      </w:r>
      <w:r>
        <w:rPr>
          <w:rFonts w:ascii="Times New Roman;Times;serif" w:hAnsi="Times New Roman;Times;serif"/>
          <w:b/>
          <w:color w:val="000000"/>
          <w:sz w:val="24"/>
        </w:rPr>
        <w:t>XEX INTERNATIONAL, LLC</w:t>
      </w:r>
      <w:r>
        <w:rPr>
          <w:rFonts w:ascii="Times New Roman;Times;serif" w:hAnsi="Times New Roman;Times;serif"/>
          <w:color w:val="000000"/>
          <w:sz w:val="24"/>
        </w:rPr>
        <w:t>.</w:t>
      </w:r>
      <w:r>
        <w:rPr>
          <w:rFonts w:ascii="Times New Roman;Times;serif" w:hAnsi="Times New Roman;Times;serif"/>
          <w:color w:val="000000"/>
          <w:sz w:val="24"/>
          <w:u w:val="single"/>
        </w:rPr>
        <w:t>,</w:t>
      </w:r>
      <w:r>
        <w:rPr>
          <w:rFonts w:ascii="Times New Roman;Times;serif" w:hAnsi="Times New Roman;Times;serif"/>
          <w:color w:val="000000"/>
          <w:sz w:val="24"/>
        </w:rPr>
        <w:t xml:space="preserve"> a Florida limited liability company (the "</w:t>
      </w:r>
      <w:r>
        <w:rPr>
          <w:rFonts w:ascii="Times New Roman;Times;serif" w:hAnsi="Times New Roman;Times;serif"/>
          <w:color w:val="000000"/>
          <w:sz w:val="24"/>
          <w:u w:val="single"/>
        </w:rPr>
        <w:t>Buyer</w:t>
      </w:r>
      <w:r>
        <w:rPr>
          <w:rFonts w:ascii="Times New Roman;Times;serif" w:hAnsi="Times New Roman;Times;serif"/>
          <w:color w:val="000000"/>
          <w:sz w:val="24"/>
        </w:rPr>
        <w:t>"), and LIQUIDMETAL TECHNOLOGY LIMITED, a Hong Kong company (the “</w:t>
      </w:r>
      <w:r>
        <w:rPr>
          <w:rFonts w:ascii="Times New Roman;Times;serif" w:hAnsi="Times New Roman;Times;serif"/>
          <w:color w:val="000000"/>
          <w:sz w:val="24"/>
          <w:u w:val="single"/>
        </w:rPr>
        <w:t>Seller</w:t>
      </w:r>
      <w:r>
        <w:rPr>
          <w:rFonts w:ascii="Times New Roman;Times;serif" w:hAnsi="Times New Roman;Times;serif"/>
          <w:color w:val="000000"/>
          <w:sz w:val="24"/>
        </w:rPr>
        <w:t>”).</w:t>
      </w:r>
    </w:p>
    <w:p>
      <w:pPr>
        <w:pStyle w:val="TextBody"/>
        <w:bidi w:val="0"/>
        <w:spacing w:before="0" w:after="0"/>
        <w:jc w:val="left"/>
        <w:rPr/>
      </w:pPr>
      <w:r>
        <w:rPr/>
      </w:r>
    </w:p>
    <w:p>
      <w:pPr>
        <w:pStyle w:val="TextBody"/>
        <w:bidi w:val="0"/>
        <w:spacing w:before="0" w:after="0"/>
        <w:ind w:left="0" w:right="0" w:firstLine="720"/>
        <w:jc w:val="center"/>
        <w:rPr>
          <w:rFonts w:ascii="Times New Roman;Times;serif" w:hAnsi="Times New Roman;Times;serif"/>
          <w:color w:val="000000"/>
          <w:sz w:val="24"/>
          <w:u w:val="single"/>
        </w:rPr>
      </w:pPr>
      <w:r>
        <w:rPr>
          <w:rFonts w:ascii="Times New Roman;Times;serif" w:hAnsi="Times New Roman;Times;serif"/>
          <w:color w:val="000000"/>
          <w:sz w:val="24"/>
          <w:u w:val="single"/>
        </w:rPr>
        <w:t>RECITALS:</w:t>
      </w:r>
    </w:p>
    <w:p>
      <w:pPr>
        <w:pStyle w:val="TextBody"/>
        <w:bidi w:val="0"/>
        <w:spacing w:before="240" w:after="283"/>
        <w:ind w:left="0" w:right="0" w:hanging="0"/>
        <w:jc w:val="both"/>
        <w:rPr>
          <w:rFonts w:ascii="Times New Roman;Times;serif" w:hAnsi="Times New Roman;Times;serif"/>
          <w:color w:val="000000"/>
          <w:sz w:val="20"/>
        </w:rPr>
      </w:pPr>
      <w:r>
        <w:rPr>
          <w:rFonts w:ascii="Times New Roman;Times;serif" w:hAnsi="Times New Roman;Times;serif"/>
          <w:color w:val="000000"/>
          <w:sz w:val="24"/>
        </w:rPr>
        <w:t>A.</w:t>
      </w:r>
      <w:r>
        <w:rPr>
          <w:rFonts w:ascii="Times New Roman;Times;serif" w:hAnsi="Times New Roman;Times;serif"/>
          <w:color w:val="000000"/>
          <w:sz w:val="20"/>
        </w:rPr>
        <w:t> </w:t>
      </w:r>
      <w:r>
        <w:rPr>
          <w:rFonts w:ascii="Times New Roman;Times;serif" w:hAnsi="Times New Roman;Times;serif"/>
          <w:color w:val="000000"/>
          <w:sz w:val="24"/>
        </w:rPr>
        <w:t xml:space="preserve">The Seller desires to sell to the Buyer, and the Buyer desires to purchase from the Seller, </w:t>
      </w:r>
      <w:r>
        <w:rPr>
          <w:rFonts w:ascii="Times New Roman;Times;serif" w:hAnsi="Times New Roman;Times;serif"/>
          <w:b/>
          <w:color w:val="000000"/>
          <w:sz w:val="24"/>
        </w:rPr>
        <w:t>Forty-Four Million Nine Hundred Forty-Six Thousand Nine Hundred and Seventy-Two (44,946,972) shares</w:t>
      </w:r>
      <w:r>
        <w:rPr>
          <w:rFonts w:ascii="Times New Roman;Times;serif" w:hAnsi="Times New Roman;Times;serif"/>
          <w:color w:val="000000"/>
          <w:sz w:val="24"/>
        </w:rPr>
        <w:t xml:space="preserve"> (collectively, the “</w:t>
      </w:r>
      <w:r>
        <w:rPr>
          <w:rFonts w:ascii="Times New Roman;Times;serif" w:hAnsi="Times New Roman;Times;serif"/>
          <w:color w:val="000000"/>
          <w:sz w:val="24"/>
          <w:u w:val="single"/>
        </w:rPr>
        <w:t>Shares</w:t>
      </w:r>
      <w:r>
        <w:rPr>
          <w:rFonts w:ascii="Times New Roman;Times;serif" w:hAnsi="Times New Roman;Times;serif"/>
          <w:color w:val="000000"/>
          <w:sz w:val="24"/>
        </w:rPr>
        <w:t>”) of the common stock, par value $0.001 per share, of Liquidmetal Technologies, Inc., a Delaware corporation (the “</w:t>
      </w:r>
      <w:r>
        <w:rPr>
          <w:rFonts w:ascii="Times New Roman;Times;serif" w:hAnsi="Times New Roman;Times;serif"/>
          <w:color w:val="000000"/>
          <w:sz w:val="24"/>
          <w:u w:val="single"/>
        </w:rPr>
        <w:t>Company</w:t>
      </w:r>
      <w:r>
        <w:rPr>
          <w:rFonts w:ascii="Times New Roman;Times;serif" w:hAnsi="Times New Roman;Times;serif"/>
          <w:color w:val="000000"/>
          <w:sz w:val="24"/>
        </w:rPr>
        <w:t>”), held by the Seller.</w:t>
      </w:r>
    </w:p>
    <w:p>
      <w:pPr>
        <w:pStyle w:val="TextBody"/>
        <w:bidi w:val="0"/>
        <w:spacing w:before="240" w:after="283"/>
        <w:ind w:left="0" w:right="0" w:hanging="0"/>
        <w:jc w:val="both"/>
        <w:rPr>
          <w:rFonts w:ascii="Times New Roman;Times;serif" w:hAnsi="Times New Roman;Times;serif"/>
          <w:color w:val="000000"/>
          <w:sz w:val="20"/>
        </w:rPr>
      </w:pPr>
      <w:r>
        <w:rPr>
          <w:rFonts w:ascii="Times New Roman;Times;serif" w:hAnsi="Times New Roman;Times;serif"/>
          <w:color w:val="000000"/>
          <w:sz w:val="24"/>
        </w:rPr>
        <w:t>B.</w:t>
      </w:r>
      <w:r>
        <w:rPr>
          <w:rFonts w:ascii="Times New Roman;Times;serif" w:hAnsi="Times New Roman;Times;serif"/>
          <w:color w:val="000000"/>
          <w:sz w:val="20"/>
        </w:rPr>
        <w:t> </w:t>
      </w:r>
      <w:r>
        <w:rPr>
          <w:rFonts w:ascii="Times New Roman;Times;serif" w:hAnsi="Times New Roman;Times;serif"/>
          <w:color w:val="000000"/>
          <w:sz w:val="24"/>
        </w:rPr>
        <w:t>The Seller and Buyer desire to consummate the purchase and sale of the Shares upon the terms and conditions set forth in this Agreement.</w:t>
      </w:r>
    </w:p>
    <w:p>
      <w:pPr>
        <w:pStyle w:val="TextBody"/>
        <w:bidi w:val="0"/>
        <w:spacing w:before="240" w:after="283"/>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Now, therefore, in consideration of the foregoing recitals and the terms, covenants, and agreements set forth herein, the parties hereto agree as follows:</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1.</w:t>
        <w:br/>
      </w:r>
      <w:r>
        <w:rPr>
          <w:rFonts w:ascii="Times New Roman;Times;serif" w:hAnsi="Times New Roman;Times;serif"/>
          <w:color w:val="000000"/>
          <w:sz w:val="24"/>
          <w:u w:val="single"/>
        </w:rPr>
        <w:t>Purchase and Sale of Shares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1.1</w:t>
      </w:r>
      <w:r>
        <w:rPr>
          <w:rFonts w:ascii="Times New Roman;Times;serif" w:hAnsi="Times New Roman;Times;serif"/>
          <w:color w:val="000000"/>
          <w:sz w:val="20"/>
        </w:rPr>
        <w:t> </w:t>
      </w:r>
      <w:r>
        <w:rPr>
          <w:rFonts w:ascii="Times New Roman;Times;serif" w:hAnsi="Times New Roman;Times;serif"/>
          <w:color w:val="000000"/>
          <w:sz w:val="24"/>
          <w:u w:val="single"/>
        </w:rPr>
        <w:t>Sale of Shares</w:t>
      </w:r>
      <w:r>
        <w:rPr>
          <w:rFonts w:ascii="Times New Roman;Times;serif" w:hAnsi="Times New Roman;Times;serif"/>
          <w:color w:val="000000"/>
          <w:sz w:val="24"/>
        </w:rPr>
        <w:t>.  At the Closing (as defined below), the Seller shall sell to the Buyer, and the Buyer shall purchase from the Seller, the Shares, free and clear of all liens, claims, and encumbrances.  The purchase price for the Shares (the “</w:t>
      </w:r>
      <w:r>
        <w:rPr>
          <w:rFonts w:ascii="Times New Roman;Times;serif" w:hAnsi="Times New Roman;Times;serif"/>
          <w:color w:val="000000"/>
          <w:sz w:val="24"/>
          <w:u w:val="single"/>
        </w:rPr>
        <w:t>Purchase Price</w:t>
      </w:r>
      <w:r>
        <w:rPr>
          <w:rFonts w:ascii="Times New Roman;Times;serif" w:hAnsi="Times New Roman;Times;serif"/>
          <w:color w:val="000000"/>
          <w:sz w:val="24"/>
        </w:rPr>
        <w:t xml:space="preserve">”) will be an amount equal to </w:t>
      </w:r>
      <w:r>
        <w:rPr>
          <w:rFonts w:ascii="Times New Roman;Times;serif" w:hAnsi="Times New Roman;Times;serif"/>
          <w:b/>
          <w:color w:val="000000"/>
          <w:sz w:val="24"/>
        </w:rPr>
        <w:t>U.S. Dollars 0.16 (USD).</w:t>
      </w:r>
      <w:r>
        <w:rPr>
          <w:rFonts w:ascii="Times New Roman;Times;serif" w:hAnsi="Times New Roman;Times;serif"/>
          <w:color w:val="000000"/>
          <w:sz w:val="24"/>
        </w:rPr>
        <w:t xml:space="preserve">  The aggregate Purchase Price for the Shares will be paid by the execution and delivery of a promissory note in substantially the form set forth as </w:t>
      </w:r>
      <w:r>
        <w:rPr>
          <w:rFonts w:ascii="Times New Roman;Times;serif" w:hAnsi="Times New Roman;Times;serif"/>
          <w:color w:val="000000"/>
          <w:sz w:val="24"/>
          <w:u w:val="single"/>
        </w:rPr>
        <w:t>Exhibit A</w:t>
      </w:r>
      <w:r>
        <w:rPr>
          <w:rFonts w:ascii="Times New Roman;Times;serif" w:hAnsi="Times New Roman;Times;serif"/>
          <w:color w:val="000000"/>
          <w:sz w:val="24"/>
        </w:rPr>
        <w:t xml:space="preserve"> hereto (the “</w:t>
      </w:r>
      <w:r>
        <w:rPr>
          <w:rFonts w:ascii="Times New Roman;Times;serif" w:hAnsi="Times New Roman;Times;serif"/>
          <w:color w:val="000000"/>
          <w:sz w:val="24"/>
          <w:u w:val="single"/>
        </w:rPr>
        <w:t>Purchase Note</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1.2</w:t>
      </w:r>
      <w:r>
        <w:rPr>
          <w:rFonts w:ascii="Times New Roman;Times;serif" w:hAnsi="Times New Roman;Times;serif"/>
          <w:color w:val="000000"/>
          <w:sz w:val="20"/>
        </w:rPr>
        <w:t> </w:t>
      </w:r>
      <w:r>
        <w:rPr>
          <w:rFonts w:ascii="Times New Roman;Times;serif" w:hAnsi="Times New Roman;Times;serif"/>
          <w:color w:val="000000"/>
          <w:sz w:val="24"/>
          <w:u w:val="single"/>
        </w:rPr>
        <w:t>Closing</w:t>
      </w:r>
      <w:r>
        <w:rPr>
          <w:rFonts w:ascii="Times New Roman;Times;serif" w:hAnsi="Times New Roman;Times;serif"/>
          <w:color w:val="000000"/>
          <w:sz w:val="24"/>
        </w:rPr>
        <w:t>.  The purchase and sale of the Shares by the Buyer (the “</w:t>
      </w:r>
      <w:r>
        <w:rPr>
          <w:rFonts w:ascii="Times New Roman;Times;serif" w:hAnsi="Times New Roman;Times;serif"/>
          <w:color w:val="000000"/>
          <w:sz w:val="24"/>
          <w:u w:val="single"/>
        </w:rPr>
        <w:t>Closing</w:t>
      </w:r>
      <w:r>
        <w:rPr>
          <w:rFonts w:ascii="Times New Roman;Times;serif" w:hAnsi="Times New Roman;Times;serif"/>
          <w:color w:val="000000"/>
          <w:sz w:val="24"/>
        </w:rPr>
        <w:t>”) shall take place remotely via the exchange of documents and signatures on the date of this Agreement or on such other date as is mutually agreed upon by the Company and the Purchasers.  At the Closing, the Seller shall deliver or cause to be delivered to the Buyer certificates (or evidence of book entry) representing the Shares, duly endorsed for transfer to the Buyer or accompanied by duly executed stock powers, and the Buyer shall execute and deliver the Purchase Note to Buyer.</w:t>
      </w:r>
    </w:p>
    <w:p>
      <w:pPr>
        <w:pStyle w:val="HorizontalLine"/>
        <w:pBdr>
          <w:bottom w:val="single" w:sz="12" w:space="0" w:color="808080"/>
        </w:pBdr>
        <w:bidi w:val="0"/>
        <w:spacing w:before="200" w:after="200"/>
        <w:jc w:val="left"/>
        <w:rPr/>
      </w:pPr>
      <w:r>
        <w:rPr/>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2.</w:t>
        <w:br/>
      </w:r>
      <w:r>
        <w:rPr>
          <w:rFonts w:ascii="Times New Roman;Times;serif" w:hAnsi="Times New Roman;Times;serif"/>
          <w:color w:val="000000"/>
          <w:sz w:val="24"/>
          <w:u w:val="single"/>
        </w:rPr>
        <w:t>Representations and Warranties of the Seller</w:t>
      </w:r>
    </w:p>
    <w:p>
      <w:pPr>
        <w:pStyle w:val="TextBody"/>
        <w:bidi w:val="0"/>
        <w:spacing w:before="240" w:after="283"/>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The Seller hereby makes the following representations and warranties to the Buyer, all of which shall survive the Closing: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2.1</w:t>
      </w:r>
      <w:r>
        <w:rPr>
          <w:rFonts w:ascii="Times New Roman;Times;serif" w:hAnsi="Times New Roman;Times;serif"/>
          <w:color w:val="000000"/>
          <w:sz w:val="20"/>
        </w:rPr>
        <w:t> </w:t>
      </w:r>
      <w:r>
        <w:rPr>
          <w:rFonts w:ascii="Times New Roman;Times;serif" w:hAnsi="Times New Roman;Times;serif"/>
          <w:color w:val="000000"/>
          <w:sz w:val="24"/>
          <w:u w:val="single"/>
        </w:rPr>
        <w:t>Ownership of Stock</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(a)</w:t>
      </w:r>
      <w:r>
        <w:rPr>
          <w:rFonts w:ascii="Times New Roman;Times;serif" w:hAnsi="Times New Roman;Times;serif"/>
          <w:color w:val="000000"/>
          <w:sz w:val="20"/>
        </w:rPr>
        <w:t> </w:t>
      </w:r>
      <w:r>
        <w:rPr>
          <w:rFonts w:ascii="Times New Roman;Times;serif" w:hAnsi="Times New Roman;Times;serif"/>
          <w:color w:val="000000"/>
          <w:sz w:val="24"/>
        </w:rPr>
        <w:t>The Shares are owned by the Seller free and clear of all liens, encumbrances, charges, and assessments of every nature and subject to no restrictions with respect to transferability.  The Seller has full power and authority to assign and transfer the Shares to the Buyer in accordance with the terms hereof.</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(b)</w:t>
      </w:r>
      <w:r>
        <w:rPr>
          <w:rFonts w:ascii="Times New Roman;Times;serif" w:hAnsi="Times New Roman;Times;serif"/>
          <w:color w:val="000000"/>
          <w:sz w:val="20"/>
        </w:rPr>
        <w:t> </w:t>
      </w:r>
      <w:r>
        <w:rPr>
          <w:rFonts w:ascii="Times New Roman;Times;serif" w:hAnsi="Times New Roman;Times;serif"/>
          <w:color w:val="000000"/>
          <w:sz w:val="24"/>
        </w:rPr>
        <w:t>Except for this Agreement, there are no outstanding options, contracts, calls, commitments, agreements, rights to purchase, rights of first refusal, proxies, powers of attorney, demands, or rights of any character relating to the Shares.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2.2</w:t>
      </w:r>
      <w:r>
        <w:rPr>
          <w:rFonts w:ascii="Times New Roman;Times;serif" w:hAnsi="Times New Roman;Times;serif"/>
          <w:color w:val="000000"/>
          <w:sz w:val="20"/>
        </w:rPr>
        <w:t> </w:t>
      </w:r>
      <w:r>
        <w:rPr>
          <w:rFonts w:ascii="Times New Roman;Times;serif" w:hAnsi="Times New Roman;Times;serif"/>
          <w:color w:val="000000"/>
          <w:sz w:val="24"/>
          <w:u w:val="single"/>
        </w:rPr>
        <w:t>Authority</w:t>
      </w:r>
      <w:r>
        <w:rPr>
          <w:rFonts w:ascii="Times New Roman;Times;serif" w:hAnsi="Times New Roman;Times;serif"/>
          <w:color w:val="000000"/>
          <w:sz w:val="24"/>
        </w:rPr>
        <w:t>.  No act, consent, or proceeding on the part of any person or entity is necessary to authorize this Agreement and the transfer and sale of the Shares pursuant hereto.  This Agreement constitutes the valid and binding agreement of the Seller, enforceable in accordance with its terms, except as such may be limited by bankruptcy, insolvency, reorganization, or other laws affecting creditors’ rights generally, and by general equitable principles.</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3.</w:t>
      </w:r>
    </w:p>
    <w:p>
      <w:pPr>
        <w:pStyle w:val="TextBody"/>
        <w:bidi w:val="0"/>
        <w:spacing w:before="0" w:after="0"/>
        <w:jc w:val="center"/>
        <w:rPr>
          <w:rFonts w:ascii="Times New Roman;Times;serif" w:hAnsi="Times New Roman;Times;serif"/>
          <w:color w:val="000000"/>
          <w:sz w:val="24"/>
          <w:u w:val="single"/>
        </w:rPr>
      </w:pPr>
      <w:r>
        <w:rPr>
          <w:rFonts w:ascii="Times New Roman;Times;serif" w:hAnsi="Times New Roman;Times;serif"/>
          <w:color w:val="000000"/>
          <w:sz w:val="24"/>
          <w:u w:val="single"/>
        </w:rPr>
        <w:t>Representations and Warranties of the Buyer</w:t>
      </w:r>
    </w:p>
    <w:p>
      <w:pPr>
        <w:pStyle w:val="TextBody"/>
        <w:bidi w:val="0"/>
        <w:spacing w:before="240" w:after="283"/>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The Buyer hereby makes the following representations and warranties to the Seller, all of which shall survive the Closing: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3.1</w:t>
      </w:r>
      <w:r>
        <w:rPr>
          <w:rFonts w:ascii="Times New Roman;Times;serif" w:hAnsi="Times New Roman;Times;serif"/>
          <w:color w:val="000000"/>
          <w:sz w:val="20"/>
        </w:rPr>
        <w:t> </w:t>
      </w:r>
      <w:r>
        <w:rPr>
          <w:rFonts w:ascii="Times New Roman;Times;serif" w:hAnsi="Times New Roman;Times;serif"/>
          <w:color w:val="000000"/>
          <w:sz w:val="24"/>
          <w:u w:val="single"/>
        </w:rPr>
        <w:t>Investment Experience</w:t>
      </w:r>
      <w:r>
        <w:rPr>
          <w:rFonts w:ascii="Times New Roman;Times;serif" w:hAnsi="Times New Roman;Times;serif"/>
          <w:color w:val="000000"/>
          <w:sz w:val="24"/>
        </w:rPr>
        <w:t>.  The Buyer has substantial experience in evaluating and investing in securities in companies similar to the Company such that the Buyer is capable of evaluating the merits and risks of the Buyer’s investment in the Company and has the capacity to protect its own interests.  The Buyer is an “Accredited Investor” as defined in Rule 501 of Regulation D promulgated under the Securities Act of 1933, as amended (the “</w:t>
      </w:r>
      <w:r>
        <w:rPr>
          <w:rFonts w:ascii="Times New Roman;Times;serif" w:hAnsi="Times New Roman;Times;serif"/>
          <w:color w:val="000000"/>
          <w:sz w:val="24"/>
          <w:u w:val="single"/>
        </w:rPr>
        <w:t>Securities Act</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3.2</w:t>
      </w:r>
      <w:r>
        <w:rPr>
          <w:rFonts w:ascii="Times New Roman;Times;serif" w:hAnsi="Times New Roman;Times;serif"/>
          <w:color w:val="000000"/>
          <w:sz w:val="20"/>
        </w:rPr>
        <w:t> </w:t>
      </w:r>
      <w:r>
        <w:rPr>
          <w:rFonts w:ascii="Times New Roman;Times;serif" w:hAnsi="Times New Roman;Times;serif"/>
          <w:color w:val="000000"/>
          <w:sz w:val="24"/>
          <w:u w:val="single"/>
        </w:rPr>
        <w:t>Investment</w:t>
      </w:r>
      <w:r>
        <w:rPr>
          <w:rFonts w:ascii="Times New Roman;Times;serif" w:hAnsi="Times New Roman;Times;serif"/>
          <w:color w:val="000000"/>
          <w:sz w:val="24"/>
        </w:rPr>
        <w:t>.  The Buyer is acquiring the Shares for investment for the Buyer’s own account, not as a nominee or agent, and not with the view to, or for resale in connection with, any distribution thereof.  The Buyer understands that the Shares have not been, and will not be when delivered hereunder, registered under the Securities Act by reason of a specific exemption from the registration provisions of the Securities Act, the availability of which depends upon, among other things, the bona fide nature of the investment intent and the accuracy of the representations as expressed herein.  The Buyer can afford the loss of his or her entire investment in the Shares.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3.3</w:t>
      </w:r>
      <w:r>
        <w:rPr>
          <w:rFonts w:ascii="Times New Roman;Times;serif" w:hAnsi="Times New Roman;Times;serif"/>
          <w:color w:val="000000"/>
          <w:sz w:val="20"/>
        </w:rPr>
        <w:t> </w:t>
      </w:r>
      <w:r>
        <w:rPr>
          <w:rFonts w:ascii="Times New Roman;Times;serif" w:hAnsi="Times New Roman;Times;serif"/>
          <w:color w:val="000000"/>
          <w:sz w:val="24"/>
          <w:u w:val="single"/>
        </w:rPr>
        <w:t>Rule 144</w:t>
      </w:r>
      <w:r>
        <w:rPr>
          <w:rFonts w:ascii="Times New Roman;Times;serif" w:hAnsi="Times New Roman;Times;serif"/>
          <w:color w:val="000000"/>
          <w:sz w:val="24"/>
        </w:rPr>
        <w:t>.  The Buyer acknowledges that the Shares must be held indefinitely unless subsequently registered under the Securities Act or unless an exemption from such registration is available.  The Buyer is aware of the provisions of Rule 144 promulgated under the Securities Act which permit limited resale of shares sold in a private transaction subject to the satisfaction of certain conditions, which may include, among other things, the existence of a public market for</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the shares, the availability of certain current public information about the Company, the resale occurring not less than one year after a party has purchased and paid for the security to be sold, and the sale being effected through a “broker’s transaction” or in transactions directly with a “market maker”.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3.4</w:t>
      </w:r>
      <w:r>
        <w:rPr>
          <w:rFonts w:ascii="Times New Roman;Times;serif" w:hAnsi="Times New Roman;Times;serif"/>
          <w:color w:val="000000"/>
          <w:sz w:val="20"/>
        </w:rPr>
        <w:t> </w:t>
      </w:r>
      <w:r>
        <w:rPr>
          <w:rFonts w:ascii="Times New Roman;Times;serif" w:hAnsi="Times New Roman;Times;serif"/>
          <w:color w:val="000000"/>
          <w:sz w:val="24"/>
          <w:u w:val="single"/>
        </w:rPr>
        <w:t>Authorization; Corporate Power</w:t>
      </w:r>
      <w:r>
        <w:rPr>
          <w:rFonts w:ascii="Times New Roman;Times;serif" w:hAnsi="Times New Roman;Times;serif"/>
          <w:color w:val="000000"/>
          <w:sz w:val="24"/>
        </w:rPr>
        <w:t>.  The Buyer has all requisite legal power and authority to execute and deliver this Agreement and the Purchase Note and to carry out and perform his, her, or its obligations under the terms of this Agreement, the Purchase Note, and the transactions contemplated hereby.  This Agreement and the Purchase Note, when executed and delivered by the Buyer, will constitute valid and legally binding obligations of the Buyer, enforceable in accordance with their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3.5</w:t>
      </w:r>
      <w:r>
        <w:rPr>
          <w:rFonts w:ascii="Times New Roman;Times;serif" w:hAnsi="Times New Roman;Times;serif"/>
          <w:color w:val="000000"/>
          <w:sz w:val="20"/>
        </w:rPr>
        <w:t> </w:t>
      </w:r>
      <w:r>
        <w:rPr>
          <w:rFonts w:ascii="Times New Roman;Times;serif" w:hAnsi="Times New Roman;Times;serif"/>
          <w:color w:val="000000"/>
          <w:sz w:val="24"/>
          <w:u w:val="single"/>
        </w:rPr>
        <w:t>Broker’s and Finders’ Fees</w:t>
      </w:r>
      <w:r>
        <w:rPr>
          <w:rFonts w:ascii="Times New Roman;Times;serif" w:hAnsi="Times New Roman;Times;serif"/>
          <w:color w:val="000000"/>
          <w:sz w:val="24"/>
        </w:rPr>
        <w:t>.  The Buyer has not incurred, and will not incur, directly or indirectly, any liability for brokerage or finders’ fees or agents’ commissions or any similar charges in connection with this Agreement or any transaction contemplated hereby.</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3.6</w:t>
      </w:r>
      <w:r>
        <w:rPr>
          <w:rFonts w:ascii="Times New Roman;Times;serif" w:hAnsi="Times New Roman;Times;serif"/>
          <w:color w:val="000000"/>
          <w:sz w:val="20"/>
        </w:rPr>
        <w:t> </w:t>
      </w:r>
      <w:r>
        <w:rPr>
          <w:rFonts w:ascii="Times New Roman;Times;serif" w:hAnsi="Times New Roman;Times;serif"/>
          <w:color w:val="000000"/>
          <w:sz w:val="24"/>
          <w:u w:val="single"/>
        </w:rPr>
        <w:t>Legends</w:t>
      </w:r>
      <w:r>
        <w:rPr>
          <w:rFonts w:ascii="Times New Roman;Times;serif" w:hAnsi="Times New Roman;Times;serif"/>
          <w:color w:val="000000"/>
          <w:sz w:val="24"/>
        </w:rPr>
        <w:t>.  It is understood that each certificate representing the Shares shall bear substantially the following legend:</w:t>
      </w:r>
    </w:p>
    <w:p>
      <w:pPr>
        <w:pStyle w:val="TextBody"/>
        <w:bidi w:val="0"/>
        <w:spacing w:before="240" w:after="283"/>
        <w:ind w:left="720" w:right="0" w:hanging="0"/>
        <w:jc w:val="both"/>
        <w:rPr>
          <w:color w:val="000000"/>
        </w:rPr>
      </w:pPr>
      <w:r>
        <w:rPr>
          <w:color w:val="000000"/>
        </w:rPr>
        <w:t>“</w:t>
      </w:r>
      <w:r>
        <w:rPr>
          <w:rFonts w:ascii="Times New Roman;Times;serif" w:hAnsi="Times New Roman;Times;serif"/>
          <w:color w:val="000000"/>
          <w:sz w:val="24"/>
        </w:rPr>
        <w:t>THESE SECURITIES HAVE NOT BEEN REGISTERED UNDER THE SECURITIES ACT OF 1933, AS AMENDED.  THEY MAY NOT BE SOLD, OFFERED FOR SALE, PLEDGED OR HYPOTHECATED IN THE ABSENCE OF AN EFFECTIVE REGISTRATION STATEMENT AS TO THE SECURITIES UNDER SAID ACT OR AN OPINION OF COUNSEL SATISFACTORY TO THE CORPORATION THAT SUCH REGISTRATION IS NOT REQUIRED.”</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3.7</w:t>
      </w:r>
      <w:r>
        <w:rPr>
          <w:rFonts w:ascii="Times New Roman;Times;serif" w:hAnsi="Times New Roman;Times;serif"/>
          <w:color w:val="000000"/>
          <w:sz w:val="20"/>
        </w:rPr>
        <w:t> </w:t>
      </w:r>
      <w:r>
        <w:rPr>
          <w:rFonts w:ascii="Times New Roman;Times;serif" w:hAnsi="Times New Roman;Times;serif"/>
          <w:color w:val="000000"/>
          <w:sz w:val="24"/>
          <w:u w:val="single"/>
        </w:rPr>
        <w:t>Residence/Location of Buyer</w:t>
      </w:r>
      <w:r>
        <w:rPr>
          <w:rFonts w:ascii="Times New Roman;Times;serif" w:hAnsi="Times New Roman;Times;serif"/>
          <w:color w:val="000000"/>
          <w:sz w:val="24"/>
        </w:rPr>
        <w:t>.  If the Buyer is an individual, the Buyer is a permanent resident of the state indicated on the Buyer’s signature page to this Agreement.  If the Buyer is a business entity or trust, the Buyer has its principal location in, the state or other jurisdiction indicated on the Buyer’s signature page to this Agreement.</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SECTION 4.</w:t>
        <w:br/>
      </w:r>
      <w:r>
        <w:rPr>
          <w:rFonts w:ascii="Times New Roman;Times;serif" w:hAnsi="Times New Roman;Times;serif"/>
          <w:color w:val="000000"/>
          <w:sz w:val="24"/>
          <w:u w:val="single"/>
        </w:rPr>
        <w:t>Miscellaneous</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4.1</w:t>
      </w:r>
      <w:r>
        <w:rPr>
          <w:rFonts w:ascii="Times New Roman;Times;serif" w:hAnsi="Times New Roman;Times;serif"/>
          <w:color w:val="000000"/>
          <w:sz w:val="20"/>
        </w:rPr>
        <w:t> </w:t>
      </w:r>
      <w:r>
        <w:rPr>
          <w:rFonts w:ascii="Times New Roman;Times;serif" w:hAnsi="Times New Roman;Times;serif"/>
          <w:color w:val="000000"/>
          <w:sz w:val="24"/>
          <w:u w:val="single"/>
        </w:rPr>
        <w:t>Entire Agreement</w:t>
      </w:r>
      <w:r>
        <w:rPr>
          <w:rFonts w:ascii="Times New Roman;Times;serif" w:hAnsi="Times New Roman;Times;serif"/>
          <w:color w:val="000000"/>
          <w:sz w:val="24"/>
        </w:rPr>
        <w:t>.  This Agreement, together with the Purchase Note, constitutes the entire agreement between the parties with respect to the subject matter hereof and supersedes all prior agreements and understandings, both written and oral, between the parties with respect to the subject matter hereof.</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4.2</w:t>
      </w:r>
      <w:r>
        <w:rPr>
          <w:rFonts w:ascii="Times New Roman;Times;serif" w:hAnsi="Times New Roman;Times;serif"/>
          <w:color w:val="000000"/>
          <w:sz w:val="20"/>
        </w:rPr>
        <w:t> </w:t>
      </w:r>
      <w:r>
        <w:rPr>
          <w:rFonts w:ascii="Times New Roman;Times;serif" w:hAnsi="Times New Roman;Times;serif"/>
          <w:color w:val="000000"/>
          <w:sz w:val="24"/>
          <w:u w:val="single"/>
        </w:rPr>
        <w:t>Assignment</w:t>
      </w:r>
      <w:r>
        <w:rPr>
          <w:rFonts w:ascii="Times New Roman;Times;serif" w:hAnsi="Times New Roman;Times;serif"/>
          <w:color w:val="000000"/>
          <w:sz w:val="24"/>
        </w:rPr>
        <w:t>. The rights and obligations of the Buyer hereunder may not be assigned, transferred or encumbered without the prior written consent of the Seller.  This Agreement shall be binding upon and inure to the benefit of the parties hereto and the permitted successors and assigns of the parties.</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4.3</w:t>
      </w:r>
      <w:r>
        <w:rPr>
          <w:rFonts w:ascii="Times New Roman;Times;serif" w:hAnsi="Times New Roman;Times;serif"/>
          <w:color w:val="000000"/>
          <w:sz w:val="20"/>
        </w:rPr>
        <w:t> </w:t>
      </w:r>
      <w:r>
        <w:rPr>
          <w:rFonts w:ascii="Times New Roman;Times;serif" w:hAnsi="Times New Roman;Times;serif"/>
          <w:color w:val="000000"/>
          <w:sz w:val="24"/>
          <w:u w:val="single"/>
        </w:rPr>
        <w:t>Governing Law; Disputes</w:t>
      </w:r>
      <w:r>
        <w:rPr>
          <w:rFonts w:ascii="Times New Roman;Times;serif" w:hAnsi="Times New Roman;Times;serif"/>
          <w:color w:val="000000"/>
          <w:sz w:val="24"/>
        </w:rPr>
        <w:t>. The validity, construction, enforcement, and interpretation of this Agreement are governed by the laws of Delaware without regard to principles of conflict of laws. All disputes arising from or relating to this Agreement or the transactions contemplated hereby shall be resolved exclusively in the state or federal courts located in Orange County, California.</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4.4</w:t>
      </w:r>
      <w:r>
        <w:rPr>
          <w:rFonts w:ascii="Times New Roman;Times;serif" w:hAnsi="Times New Roman;Times;serif"/>
          <w:color w:val="000000"/>
          <w:sz w:val="20"/>
        </w:rPr>
        <w:t> </w:t>
      </w:r>
      <w:r>
        <w:rPr>
          <w:rFonts w:ascii="Times New Roman;Times;serif" w:hAnsi="Times New Roman;Times;serif"/>
          <w:color w:val="000000"/>
          <w:sz w:val="24"/>
          <w:u w:val="single"/>
        </w:rPr>
        <w:t>Amendments</w:t>
      </w:r>
      <w:r>
        <w:rPr>
          <w:rFonts w:ascii="Times New Roman;Times;serif" w:hAnsi="Times New Roman;Times;serif"/>
          <w:color w:val="000000"/>
          <w:sz w:val="24"/>
        </w:rPr>
        <w:t>.  This Agreement may not be amended except in a writing executed by the party against whom enforcement of the amendment is sought.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4.5 </w:t>
      </w:r>
      <w:r>
        <w:rPr>
          <w:rFonts w:ascii="Times New Roman;Times;serif" w:hAnsi="Times New Roman;Times;serif"/>
          <w:color w:val="000000"/>
          <w:sz w:val="24"/>
          <w:u w:val="single"/>
        </w:rPr>
        <w:t>Counterparts</w:t>
      </w:r>
      <w:r>
        <w:rPr>
          <w:rFonts w:ascii="Times New Roman;Times;serif" w:hAnsi="Times New Roman;Times;serif"/>
          <w:color w:val="000000"/>
          <w:sz w:val="24"/>
        </w:rPr>
        <w:t>.  This Agreement may be executed in counterparts, each of which shall constitute an original, and all of which, together, shall constitute the same instrument.  Delivery of signed copies hereof by facsimile, PDF or other electronic format shall be deemed to be effective delivery of an original counterpart.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4.6</w:t>
      </w:r>
      <w:r>
        <w:rPr>
          <w:rFonts w:ascii="Times New Roman;Times;serif" w:hAnsi="Times New Roman;Times;serif"/>
          <w:color w:val="000000"/>
          <w:sz w:val="20"/>
        </w:rPr>
        <w:t> </w:t>
      </w:r>
      <w:r>
        <w:rPr>
          <w:rFonts w:ascii="Times New Roman;Times;serif" w:hAnsi="Times New Roman;Times;serif"/>
          <w:color w:val="000000"/>
          <w:sz w:val="24"/>
          <w:u w:val="single"/>
        </w:rPr>
        <w:t>Headings</w:t>
      </w:r>
      <w:r>
        <w:rPr>
          <w:rFonts w:ascii="Times New Roman;Times;serif" w:hAnsi="Times New Roman;Times;serif"/>
          <w:color w:val="000000"/>
          <w:sz w:val="24"/>
        </w:rPr>
        <w:t>.  The headings of the sections of this Agreement are for convenience and shall not by themselves determine the interpretation of this Agreement.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4"/>
        </w:rPr>
        <w:t>4.7</w:t>
      </w:r>
      <w:r>
        <w:rPr>
          <w:rFonts w:ascii="Times New Roman;Times;serif" w:hAnsi="Times New Roman;Times;serif"/>
          <w:color w:val="000000"/>
          <w:sz w:val="20"/>
        </w:rPr>
        <w:t> </w:t>
      </w:r>
      <w:r>
        <w:rPr>
          <w:rFonts w:ascii="Times New Roman;Times;serif" w:hAnsi="Times New Roman;Times;serif"/>
          <w:color w:val="000000"/>
          <w:sz w:val="24"/>
          <w:u w:val="single"/>
        </w:rPr>
        <w:t>Expenses</w:t>
      </w:r>
      <w:r>
        <w:rPr>
          <w:rFonts w:ascii="Times New Roman;Times;serif" w:hAnsi="Times New Roman;Times;serif"/>
          <w:color w:val="000000"/>
          <w:sz w:val="24"/>
        </w:rPr>
        <w:t>.  Each of the parties shall bear its own expenses and the expenses of its counsel and other agents in connection with the transactions contemplated hereby.</w:t>
      </w:r>
    </w:p>
    <w:p>
      <w:pPr>
        <w:pStyle w:val="TextBody"/>
        <w:bidi w:val="0"/>
        <w:spacing w:before="0" w:after="0"/>
        <w:jc w:val="left"/>
        <w:rPr/>
      </w:pPr>
      <w:r>
        <w:rPr/>
      </w:r>
    </w:p>
    <w:p>
      <w:pPr>
        <w:pStyle w:val="TextBody"/>
        <w:bidi w:val="0"/>
        <w:spacing w:before="0" w:after="0"/>
        <w:jc w:val="center"/>
        <w:rPr>
          <w:rFonts w:ascii="Times New Roman;Times;serif" w:hAnsi="Times New Roman;Times;serif"/>
          <w:b/>
          <w:i/>
          <w:color w:val="000000"/>
          <w:sz w:val="24"/>
        </w:rPr>
      </w:pPr>
      <w:r>
        <w:rPr>
          <w:rFonts w:ascii="Times New Roman;Times;serif" w:hAnsi="Times New Roman;Times;serif"/>
          <w:b/>
          <w:i/>
          <w:color w:val="000000"/>
          <w:sz w:val="24"/>
        </w:rPr>
        <w:t>[Signatures on following page(s)]</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both"/>
        <w:rPr>
          <w:rFonts w:ascii="Times New Roman;Times;serif" w:hAnsi="Times New Roman;Times;serif"/>
          <w:color w:val="000000"/>
          <w:sz w:val="24"/>
        </w:rPr>
      </w:pPr>
      <w:r>
        <w:rPr>
          <w:rFonts w:ascii="Times New Roman;Times;serif" w:hAnsi="Times New Roman;Times;serif"/>
          <w:b/>
          <w:color w:val="000000"/>
          <w:sz w:val="24"/>
        </w:rPr>
        <w:t xml:space="preserve">IN WITNESS WHEREOF, </w:t>
      </w:r>
      <w:r>
        <w:rPr>
          <w:rFonts w:ascii="Times New Roman;Times;serif" w:hAnsi="Times New Roman;Times;serif"/>
          <w:color w:val="000000"/>
          <w:sz w:val="24"/>
        </w:rPr>
        <w:t>the parties hereto have executed this Stock Purchase Agreement as of the day and year first above written.</w:t>
      </w:r>
    </w:p>
    <w:tbl>
      <w:tblPr>
        <w:tblW w:w="4055" w:type="dxa"/>
        <w:jc w:val="left"/>
        <w:tblInd w:w="0" w:type="dxa"/>
        <w:tblLayout w:type="fixed"/>
        <w:tblCellMar>
          <w:top w:w="0" w:type="dxa"/>
          <w:left w:w="0" w:type="dxa"/>
          <w:bottom w:w="0" w:type="dxa"/>
          <w:right w:w="0" w:type="dxa"/>
        </w:tblCellMar>
      </w:tblPr>
      <w:tblGrid>
        <w:gridCol w:w="60"/>
        <w:gridCol w:w="3995"/>
      </w:tblGrid>
      <w:tr>
        <w:trPr/>
        <w:tc>
          <w:tcPr>
            <w:tcW w:w="6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0"/>
              <w:jc w:val="left"/>
              <w:rPr/>
            </w:pPr>
            <w:r>
              <w:rPr/>
              <w:t xml:space="preserve">  </w:t>
            </w:r>
          </w:p>
          <w:p>
            <w:pPr>
              <w:pStyle w:val="TableContents"/>
              <w:bidi w:val="0"/>
              <w:spacing w:before="0" w:after="0"/>
              <w:ind w:left="5040" w:right="0" w:hanging="0"/>
              <w:jc w:val="left"/>
              <w:rPr>
                <w:b/>
                <w:sz w:val="24"/>
              </w:rPr>
            </w:pPr>
            <w:r>
              <w:rPr>
                <w:b/>
                <w:sz w:val="24"/>
              </w:rPr>
              <w:t>SELLER</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LIQUIDMETAL TECHNOLOGY LTD</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By:</w:t>
            </w:r>
            <w:r>
              <w:rPr>
                <w:sz w:val="24"/>
                <w:u w:val="single"/>
              </w:rPr>
              <w:t xml:space="preserve"> /s/ Lugee Li Yeung Tak</w:t>
            </w:r>
            <w:r>
              <w:rPr>
                <w:sz w:val="24"/>
              </w:rPr>
              <w:t> </w:t>
            </w:r>
          </w:p>
          <w:p>
            <w:pPr>
              <w:pStyle w:val="TableContents"/>
              <w:bidi w:val="0"/>
              <w:spacing w:before="0" w:after="0"/>
              <w:ind w:left="5040" w:right="0" w:hanging="0"/>
              <w:jc w:val="left"/>
              <w:rPr>
                <w:sz w:val="24"/>
              </w:rPr>
            </w:pPr>
            <w:r>
              <w:rPr>
                <w:sz w:val="24"/>
              </w:rPr>
              <w:t>Lugee Li Yeung Tak</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Address:</w:t>
            </w:r>
          </w:p>
          <w:p>
            <w:pPr>
              <w:pStyle w:val="TableContents"/>
              <w:bidi w:val="0"/>
              <w:spacing w:before="0" w:after="0"/>
              <w:ind w:left="5040" w:right="0" w:hanging="0"/>
              <w:jc w:val="left"/>
              <w:rPr>
                <w:sz w:val="24"/>
              </w:rPr>
            </w:pPr>
            <w:r>
              <w:rPr>
                <w:sz w:val="24"/>
              </w:rPr>
              <w:t>Room 906, Tai Tung Building</w:t>
            </w:r>
          </w:p>
          <w:p>
            <w:pPr>
              <w:pStyle w:val="TableContents"/>
              <w:bidi w:val="0"/>
              <w:spacing w:before="0" w:after="0"/>
              <w:ind w:left="5040" w:right="0" w:hanging="0"/>
              <w:jc w:val="left"/>
              <w:rPr>
                <w:sz w:val="24"/>
              </w:rPr>
            </w:pPr>
            <w:r>
              <w:rPr>
                <w:sz w:val="24"/>
              </w:rPr>
              <w:t>8 Fleming Road</w:t>
            </w:r>
          </w:p>
          <w:p>
            <w:pPr>
              <w:pStyle w:val="TableContents"/>
              <w:bidi w:val="0"/>
              <w:spacing w:before="0" w:after="0"/>
              <w:ind w:left="5040" w:right="0" w:hanging="0"/>
              <w:jc w:val="left"/>
              <w:rPr>
                <w:sz w:val="24"/>
              </w:rPr>
            </w:pPr>
            <w:r>
              <w:rPr>
                <w:sz w:val="24"/>
              </w:rPr>
              <w:t>Wanchai, Hong Kong</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Email:</w:t>
            </w:r>
          </w:p>
          <w:p>
            <w:pPr>
              <w:pStyle w:val="TableContents"/>
              <w:bidi w:val="0"/>
              <w:spacing w:before="240" w:after="283"/>
              <w:jc w:val="left"/>
              <w:rPr/>
            </w:pPr>
            <w:r>
              <w:rPr/>
            </w:r>
          </w:p>
          <w:p>
            <w:pPr>
              <w:pStyle w:val="TableContents"/>
              <w:bidi w:val="0"/>
              <w:spacing w:before="0" w:after="0"/>
              <w:jc w:val="left"/>
              <w:rPr/>
            </w:pPr>
            <w:r>
              <w:rPr/>
            </w:r>
          </w:p>
          <w:p>
            <w:pPr>
              <w:pStyle w:val="TableContents"/>
              <w:bidi w:val="0"/>
              <w:spacing w:before="240" w:after="283"/>
              <w:ind w:left="5040" w:right="0" w:hanging="0"/>
              <w:jc w:val="left"/>
              <w:rPr>
                <w:b/>
                <w:sz w:val="24"/>
              </w:rPr>
            </w:pPr>
            <w:r>
              <w:rPr>
                <w:b/>
                <w:sz w:val="24"/>
              </w:rPr>
              <w:t>BUYER:</w:t>
            </w:r>
          </w:p>
          <w:p>
            <w:pPr>
              <w:pStyle w:val="TableContents"/>
              <w:bidi w:val="0"/>
              <w:spacing w:before="0" w:after="0"/>
              <w:jc w:val="left"/>
              <w:rPr/>
            </w:pPr>
            <w:r>
              <w:rPr/>
            </w:r>
          </w:p>
          <w:p>
            <w:pPr>
              <w:pStyle w:val="TableContents"/>
              <w:bidi w:val="0"/>
              <w:spacing w:before="0" w:after="0"/>
              <w:ind w:left="5040" w:right="0" w:hanging="0"/>
              <w:jc w:val="left"/>
              <w:rPr>
                <w:b/>
                <w:sz w:val="24"/>
              </w:rPr>
            </w:pPr>
            <w:r>
              <w:rPr>
                <w:b/>
                <w:sz w:val="24"/>
              </w:rPr>
              <w:t>XEX INTERNATIONAL, LLC.</w:t>
            </w:r>
          </w:p>
          <w:p>
            <w:pPr>
              <w:pStyle w:val="TableContents"/>
              <w:bidi w:val="0"/>
              <w:spacing w:before="0" w:after="0"/>
              <w:jc w:val="left"/>
              <w:rPr/>
            </w:pPr>
            <w:r>
              <w:rPr/>
            </w:r>
          </w:p>
          <w:p>
            <w:pPr>
              <w:pStyle w:val="TableContents"/>
              <w:bidi w:val="0"/>
              <w:spacing w:before="0" w:after="0"/>
              <w:ind w:left="5040" w:right="0" w:hanging="0"/>
              <w:jc w:val="left"/>
              <w:rPr/>
            </w:pPr>
            <w:r>
              <w:rPr>
                <w:sz w:val="24"/>
              </w:rPr>
              <w:t>By:</w:t>
            </w:r>
            <w:r>
              <w:rPr>
                <w:sz w:val="24"/>
                <w:u w:val="single"/>
              </w:rPr>
              <w:t xml:space="preserve"> /s/ Jingke Lin</w:t>
            </w:r>
            <w:r>
              <w:rPr/>
              <w:t> </w:t>
            </w:r>
          </w:p>
          <w:p>
            <w:pPr>
              <w:pStyle w:val="TableContents"/>
              <w:bidi w:val="0"/>
              <w:spacing w:before="0" w:after="0"/>
              <w:ind w:left="5040" w:right="0" w:hanging="0"/>
              <w:jc w:val="left"/>
              <w:rPr>
                <w:sz w:val="24"/>
              </w:rPr>
            </w:pPr>
            <w:r>
              <w:rPr>
                <w:sz w:val="24"/>
              </w:rPr>
              <w:t>Jingke Lin, Manager</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Address:</w:t>
            </w:r>
          </w:p>
          <w:p>
            <w:pPr>
              <w:pStyle w:val="TableContents"/>
              <w:bidi w:val="0"/>
              <w:spacing w:before="0" w:after="0"/>
              <w:ind w:left="5040" w:right="0" w:hanging="0"/>
              <w:jc w:val="left"/>
              <w:rPr>
                <w:sz w:val="24"/>
              </w:rPr>
            </w:pPr>
            <w:r>
              <w:rPr>
                <w:sz w:val="24"/>
              </w:rPr>
              <w:t>2804 Dawley Ave.</w:t>
            </w:r>
          </w:p>
          <w:p>
            <w:pPr>
              <w:pStyle w:val="TableContents"/>
              <w:bidi w:val="0"/>
              <w:spacing w:before="0" w:after="0"/>
              <w:ind w:left="5040" w:right="0" w:hanging="0"/>
              <w:jc w:val="left"/>
              <w:rPr>
                <w:sz w:val="24"/>
              </w:rPr>
            </w:pPr>
            <w:r>
              <w:rPr>
                <w:sz w:val="24"/>
              </w:rPr>
              <w:t>Orlando, FL 32806</w:t>
            </w:r>
          </w:p>
          <w:p>
            <w:pPr>
              <w:pStyle w:val="TableContents"/>
              <w:bidi w:val="0"/>
              <w:spacing w:before="0" w:after="0"/>
              <w:jc w:val="left"/>
              <w:rPr/>
            </w:pPr>
            <w:r>
              <w:rPr/>
            </w:r>
          </w:p>
          <w:p>
            <w:pPr>
              <w:pStyle w:val="TableContents"/>
              <w:bidi w:val="0"/>
              <w:spacing w:before="0" w:after="0"/>
              <w:ind w:left="5040" w:right="0" w:hanging="0"/>
              <w:jc w:val="left"/>
              <w:rPr>
                <w:sz w:val="24"/>
              </w:rPr>
            </w:pPr>
            <w:r>
              <w:rPr>
                <w:sz w:val="24"/>
              </w:rPr>
              <w:t>Email: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240"/>
        <w:jc w:val="left"/>
        <w:rPr/>
      </w:pPr>
      <w:r>
        <w:rPr/>
      </w:r>
    </w:p>
    <w:p>
      <w:pPr>
        <w:pStyle w:val="TextBody"/>
        <w:bidi w:val="0"/>
        <w:spacing w:before="240" w:after="283"/>
        <w:jc w:val="center"/>
        <w:rPr>
          <w:rFonts w:ascii="Times New Roman;Times;serif" w:hAnsi="Times New Roman;Times;serif"/>
          <w:b/>
          <w:color w:val="000000"/>
          <w:sz w:val="24"/>
          <w:u w:val="single"/>
        </w:rPr>
      </w:pPr>
      <w:r>
        <w:rPr>
          <w:rFonts w:ascii="Times New Roman;Times;serif" w:hAnsi="Times New Roman;Times;serif"/>
          <w:b/>
          <w:color w:val="000000"/>
          <w:sz w:val="24"/>
          <w:u w:val="single"/>
        </w:rPr>
        <w:t>EXHIBIT A</w:t>
      </w:r>
    </w:p>
    <w:p>
      <w:pPr>
        <w:pStyle w:val="TextBody"/>
        <w:bidi w:val="0"/>
        <w:spacing w:before="240" w:after="283"/>
        <w:jc w:val="center"/>
        <w:rPr>
          <w:rFonts w:ascii="Times New Roman;Times;serif" w:hAnsi="Times New Roman;Times;serif"/>
          <w:b/>
          <w:color w:val="000000"/>
          <w:sz w:val="24"/>
        </w:rPr>
      </w:pPr>
      <w:r>
        <w:rPr>
          <w:rFonts w:ascii="Times New Roman;Times;serif" w:hAnsi="Times New Roman;Times;serif"/>
          <w:b/>
          <w:color w:val="000000"/>
          <w:sz w:val="24"/>
        </w:rPr>
        <w:t>FORM OF PURCHASE NOTE</w:t>
      </w:r>
    </w:p>
    <w:p>
      <w:pPr>
        <w:pStyle w:val="TextBody"/>
        <w:bidi w:val="0"/>
        <w:spacing w:before="240" w:after="283"/>
        <w:jc w:val="center"/>
        <w:rPr>
          <w:rFonts w:ascii="Times New Roman;Times;serif" w:hAnsi="Times New Roman;Times;serif"/>
          <w:color w:val="000000"/>
          <w:sz w:val="24"/>
        </w:rPr>
      </w:pPr>
      <w:r>
        <w:rPr>
          <w:rFonts w:ascii="Times New Roman;Times;serif" w:hAnsi="Times New Roman;Times;serif"/>
          <w:color w:val="000000"/>
          <w:sz w:val="24"/>
        </w:rPr>
        <w:t>(attached)</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0" w:after="283"/>
        <w:jc w:val="center"/>
        <w:rPr>
          <w:rFonts w:ascii="Times New Roman;Times;serif" w:hAnsi="Times New Roman;Times;serif"/>
          <w:color w:val="000000"/>
          <w:sz w:val="24"/>
        </w:rPr>
      </w:pPr>
      <w:r>
        <w:rPr>
          <w:rFonts w:ascii="Times New Roman;Times;serif" w:hAnsi="Times New Roman;Times;serif"/>
          <w:color w:val="000000"/>
          <w:sz w:val="24"/>
        </w:rPr>
        <w:t>PROMISSORY NOTE</w:t>
      </w:r>
    </w:p>
    <w:p>
      <w:pPr>
        <w:pStyle w:val="TextBody"/>
        <w:bidi w:val="0"/>
        <w:spacing w:before="0" w:after="0"/>
        <w:jc w:val="left"/>
        <w:rPr/>
      </w:pPr>
      <w:r>
        <w:rPr/>
      </w:r>
    </w:p>
    <w:p>
      <w:pPr>
        <w:pStyle w:val="TextBody"/>
        <w:bidi w:val="0"/>
        <w:spacing w:before="30" w:after="283"/>
        <w:jc w:val="left"/>
        <w:rPr/>
      </w:pPr>
      <w:r>
        <w:rPr/>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 xml:space="preserve">Amount:  </w:t>
      </w:r>
      <w:r>
        <w:rPr>
          <w:rFonts w:ascii="Times New Roman;Times;serif" w:hAnsi="Times New Roman;Times;serif"/>
          <w:b/>
          <w:color w:val="000000"/>
          <w:sz w:val="24"/>
        </w:rPr>
        <w:t>$7,191,515.52</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Term:  Three Years</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Maturity Date:  October 9, 2027</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Location:  Orlando, Florida</w:t>
      </w:r>
    </w:p>
    <w:p>
      <w:pPr>
        <w:pStyle w:val="TextBody"/>
        <w:bidi w:val="0"/>
        <w:spacing w:before="30" w:after="283"/>
        <w:jc w:val="left"/>
        <w:rPr>
          <w:rFonts w:ascii="Times New Roman;Times;serif" w:hAnsi="Times New Roman;Times;serif"/>
          <w:color w:val="000000"/>
          <w:sz w:val="24"/>
        </w:rPr>
      </w:pPr>
      <w:r>
        <w:rPr>
          <w:rFonts w:ascii="Times New Roman;Times;serif" w:hAnsi="Times New Roman;Times;serif"/>
          <w:color w:val="000000"/>
          <w:sz w:val="24"/>
        </w:rPr>
        <w:t>Date:  October 10, 2024</w:t>
      </w:r>
    </w:p>
    <w:p>
      <w:pPr>
        <w:pStyle w:val="TextBody"/>
        <w:bidi w:val="0"/>
        <w:spacing w:before="0" w:after="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w:t>
      </w:r>
      <w:r>
        <w:rPr>
          <w:rFonts w:ascii="Times New Roman;Times;serif" w:hAnsi="Times New Roman;Times;serif"/>
          <w:color w:val="000000"/>
          <w:sz w:val="20"/>
        </w:rPr>
        <w:t> </w:t>
      </w:r>
      <w:r>
        <w:rPr>
          <w:rFonts w:ascii="Times New Roman;Times;serif" w:hAnsi="Times New Roman;Times;serif"/>
          <w:b/>
          <w:color w:val="000000"/>
          <w:sz w:val="24"/>
          <w:u w:val="single"/>
        </w:rPr>
        <w:t>Agreement to Pay</w:t>
      </w:r>
      <w:r>
        <w:rPr>
          <w:rFonts w:ascii="Times New Roman;Times;serif" w:hAnsi="Times New Roman;Times;serif"/>
          <w:color w:val="000000"/>
          <w:sz w:val="24"/>
        </w:rPr>
        <w:t>.   </w:t>
      </w:r>
      <w:r>
        <w:rPr>
          <w:rFonts w:ascii="Times New Roman;Times;serif" w:hAnsi="Times New Roman;Times;serif"/>
          <w:b/>
          <w:color w:val="000000"/>
          <w:sz w:val="24"/>
        </w:rPr>
        <w:t>FOR VALUE RECEIVED</w:t>
      </w:r>
      <w:r>
        <w:rPr>
          <w:rFonts w:ascii="Times New Roman;Times;serif" w:hAnsi="Times New Roman;Times;serif"/>
          <w:color w:val="000000"/>
          <w:sz w:val="24"/>
        </w:rPr>
        <w:t>, the undersigned, </w:t>
      </w:r>
      <w:r>
        <w:rPr>
          <w:rFonts w:ascii="Times New Roman;Times;serif" w:hAnsi="Times New Roman;Times;serif"/>
          <w:b/>
          <w:color w:val="000000"/>
          <w:sz w:val="24"/>
        </w:rPr>
        <w:t>XEX INTERNATIONAL, LLC.,</w:t>
      </w:r>
      <w:r>
        <w:rPr>
          <w:rFonts w:ascii="Times New Roman;Times;serif" w:hAnsi="Times New Roman;Times;serif"/>
          <w:color w:val="000000"/>
          <w:sz w:val="24"/>
        </w:rPr>
        <w:t> a Florida limited liability company (collectively, if more than one, “</w:t>
      </w:r>
      <w:r>
        <w:rPr>
          <w:rFonts w:ascii="Times New Roman;Times;serif" w:hAnsi="Times New Roman;Times;serif"/>
          <w:b/>
          <w:color w:val="000000"/>
          <w:sz w:val="24"/>
          <w:u w:val="single"/>
        </w:rPr>
        <w:t>Borrower</w:t>
      </w:r>
      <w:r>
        <w:rPr>
          <w:rFonts w:ascii="Times New Roman;Times;serif" w:hAnsi="Times New Roman;Times;serif"/>
          <w:color w:val="000000"/>
          <w:sz w:val="24"/>
        </w:rPr>
        <w:t>”), whose mailing address is 2804 Dawley Ave., Orlando, FL 32806, hereby agrees and promises to pay to the order of </w:t>
      </w:r>
      <w:r>
        <w:rPr>
          <w:rFonts w:ascii="Times New Roman;Times;serif" w:hAnsi="Times New Roman;Times;serif"/>
          <w:b/>
          <w:color w:val="000000"/>
          <w:sz w:val="24"/>
        </w:rPr>
        <w:t>LIQIDMETAL TECHNOLOGY LIMITED</w:t>
      </w:r>
      <w:r>
        <w:rPr>
          <w:rFonts w:ascii="Times New Roman;Times;serif" w:hAnsi="Times New Roman;Times;serif"/>
          <w:color w:val="000000"/>
          <w:sz w:val="24"/>
        </w:rPr>
        <w:t>, a Hong Kong corporation, its endorsees, successors and assigns (“</w:t>
      </w:r>
      <w:r>
        <w:rPr>
          <w:rFonts w:ascii="Times New Roman;Times;serif" w:hAnsi="Times New Roman;Times;serif"/>
          <w:b/>
          <w:color w:val="000000"/>
          <w:sz w:val="24"/>
          <w:u w:val="single"/>
        </w:rPr>
        <w:t>Lender</w:t>
      </w:r>
      <w:r>
        <w:rPr>
          <w:rFonts w:ascii="Times New Roman;Times;serif" w:hAnsi="Times New Roman;Times;serif"/>
          <w:color w:val="000000"/>
          <w:sz w:val="24"/>
        </w:rPr>
        <w:t>”), at its principal office and mailing address at Room 906, Tai Tung building, 8 Fleming Road, Wanchai, Hong Kong, or such other place as Lender may from time to time designate, the principal sum of Seven Million One Hundred and Ninety-One Thousand Five Hundred and Fifteen Dollars and Fifty-Two Cents ($7,191,515.52) (“Loan”), together with interest on the unpaid principal balance at the rates provided for herein, payable in lawful money of the United States of America which shall be legal tender for public and private debts at the time of payment.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w:t>
      </w:r>
      <w:r>
        <w:rPr>
          <w:rFonts w:ascii="Times New Roman;Times;serif" w:hAnsi="Times New Roman;Times;serif"/>
          <w:color w:val="000000"/>
          <w:sz w:val="20"/>
        </w:rPr>
        <w:t> </w:t>
      </w:r>
      <w:r>
        <w:rPr>
          <w:rFonts w:ascii="Times New Roman;Times;serif" w:hAnsi="Times New Roman;Times;serif"/>
          <w:b/>
          <w:color w:val="000000"/>
          <w:sz w:val="24"/>
          <w:u w:val="single"/>
        </w:rPr>
        <w:t>Interest Rate</w:t>
      </w:r>
      <w:r>
        <w:rPr>
          <w:rFonts w:ascii="Times New Roman;Times;serif" w:hAnsi="Times New Roman;Times;serif"/>
          <w:color w:val="000000"/>
          <w:sz w:val="24"/>
        </w:rPr>
        <w:t>.   The outstanding principal balance hereof shall bear interest at the rate of five percent (5.00%) per annum (“</w:t>
      </w:r>
      <w:r>
        <w:rPr>
          <w:rFonts w:ascii="Times New Roman;Times;serif" w:hAnsi="Times New Roman;Times;serif"/>
          <w:b/>
          <w:color w:val="000000"/>
          <w:sz w:val="24"/>
          <w:u w:val="single"/>
        </w:rPr>
        <w:t>Regular Rate</w:t>
      </w:r>
      <w:r>
        <w:rPr>
          <w:rFonts w:ascii="Times New Roman;Times;serif" w:hAnsi="Times New Roman;Times;serif"/>
          <w:color w:val="000000"/>
          <w:sz w:val="24"/>
        </w:rPr>
        <w: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3.</w:t>
      </w:r>
      <w:r>
        <w:rPr>
          <w:rFonts w:ascii="Times New Roman;Times;serif" w:hAnsi="Times New Roman;Times;serif"/>
          <w:color w:val="000000"/>
          <w:sz w:val="20"/>
        </w:rPr>
        <w:t> </w:t>
      </w:r>
      <w:r>
        <w:rPr>
          <w:rFonts w:ascii="Times New Roman;Times;serif" w:hAnsi="Times New Roman;Times;serif"/>
          <w:b/>
          <w:color w:val="000000"/>
          <w:sz w:val="24"/>
          <w:u w:val="single"/>
        </w:rPr>
        <w:t>Monthly Payments</w:t>
      </w:r>
      <w:r>
        <w:rPr>
          <w:rFonts w:ascii="Times New Roman;Times;serif" w:hAnsi="Times New Roman;Times;serif"/>
          <w:color w:val="000000"/>
          <w:sz w:val="24"/>
        </w:rPr>
        <w:t>.   Principal and interest upon this Promissory Note shall be paid as follows:</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a.</w:t>
      </w:r>
      <w:r>
        <w:rPr>
          <w:rFonts w:ascii="Times New Roman;Times;serif" w:hAnsi="Times New Roman;Times;serif"/>
          <w:color w:val="000000"/>
          <w:sz w:val="20"/>
        </w:rPr>
        <w:t> </w:t>
      </w:r>
      <w:r>
        <w:rPr>
          <w:rFonts w:ascii="Times New Roman;Times;serif" w:hAnsi="Times New Roman;Times;serif"/>
          <w:b/>
          <w:color w:val="000000"/>
          <w:sz w:val="24"/>
          <w:u w:val="single"/>
        </w:rPr>
        <w:t>Principal</w:t>
      </w:r>
      <w:r>
        <w:rPr>
          <w:rFonts w:ascii="Times New Roman;Times;serif" w:hAnsi="Times New Roman;Times;serif"/>
          <w:color w:val="000000"/>
          <w:sz w:val="24"/>
        </w:rPr>
        <w:t>.  Any payments paid by Borrower and received by Lender before the maturity of the Loan shall be credited to the Principal of the Loan.</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b.</w:t>
      </w:r>
      <w:r>
        <w:rPr>
          <w:rFonts w:ascii="Times New Roman;Times;serif" w:hAnsi="Times New Roman;Times;serif"/>
          <w:color w:val="000000"/>
          <w:sz w:val="20"/>
        </w:rPr>
        <w:t> </w:t>
      </w:r>
      <w:r>
        <w:rPr>
          <w:rFonts w:ascii="Times New Roman;Times;serif" w:hAnsi="Times New Roman;Times;serif"/>
          <w:b/>
          <w:color w:val="000000"/>
          <w:sz w:val="24"/>
          <w:u w:val="single"/>
        </w:rPr>
        <w:t>Interest</w:t>
      </w:r>
      <w:r>
        <w:rPr>
          <w:rFonts w:ascii="Times New Roman;Times;serif" w:hAnsi="Times New Roman;Times;serif"/>
          <w:color w:val="000000"/>
          <w:sz w:val="24"/>
        </w:rPr>
        <w:t>.  All interest shall be payable at the maturity of the Loan.  Any interests associated with the principal of the Loan that has been repaid by the maturity date of the Loan shall be waived.</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c.</w:t>
      </w:r>
      <w:r>
        <w:rPr>
          <w:rFonts w:ascii="Times New Roman;Times;serif" w:hAnsi="Times New Roman;Times;serif"/>
          <w:color w:val="000000"/>
          <w:sz w:val="20"/>
        </w:rPr>
        <w:t> </w:t>
      </w:r>
      <w:r>
        <w:rPr>
          <w:rFonts w:ascii="Times New Roman;Times;serif" w:hAnsi="Times New Roman;Times;serif"/>
          <w:b/>
          <w:color w:val="000000"/>
          <w:sz w:val="24"/>
          <w:u w:val="single"/>
        </w:rPr>
        <w:t>Default Interest</w:t>
      </w:r>
      <w:r>
        <w:rPr>
          <w:rFonts w:ascii="Times New Roman;Times;serif" w:hAnsi="Times New Roman;Times;serif"/>
          <w:color w:val="000000"/>
          <w:sz w:val="24"/>
        </w:rPr>
        <w:t>.  Any interest associated with the outstanding principal of the Loan after the maturity date of the loan shall bear interest at the rate of fifteen percent (15.00%) per annum (“</w:t>
      </w:r>
      <w:r>
        <w:rPr>
          <w:rFonts w:ascii="Times New Roman;Times;serif" w:hAnsi="Times New Roman;Times;serif"/>
          <w:b/>
          <w:color w:val="000000"/>
          <w:sz w:val="24"/>
          <w:u w:val="single"/>
        </w:rPr>
        <w:t>Default Rate</w:t>
      </w:r>
      <w:r>
        <w:rPr>
          <w:rFonts w:ascii="Times New Roman;Times;serif" w:hAnsi="Times New Roman;Times;serif"/>
          <w:color w:val="000000"/>
          <w:sz w:val="24"/>
        </w:rPr>
        <w:t>”).</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d.</w:t>
      </w:r>
      <w:r>
        <w:rPr>
          <w:rFonts w:ascii="Times New Roman;Times;serif" w:hAnsi="Times New Roman;Times;serif"/>
          <w:color w:val="000000"/>
          <w:sz w:val="20"/>
        </w:rPr>
        <w:t> </w:t>
      </w:r>
      <w:r>
        <w:rPr>
          <w:rFonts w:ascii="Times New Roman;Times;serif" w:hAnsi="Times New Roman;Times;serif"/>
          <w:b/>
          <w:color w:val="000000"/>
          <w:sz w:val="24"/>
          <w:u w:val="single"/>
        </w:rPr>
        <w:t>Balloon Payment</w:t>
      </w:r>
      <w:r>
        <w:rPr>
          <w:rFonts w:ascii="Times New Roman;Times;serif" w:hAnsi="Times New Roman;Times;serif"/>
          <w:color w:val="000000"/>
          <w:sz w:val="24"/>
        </w:rPr>
        <w:t>.   This is a balloon note and the principal and the interest of the Loan is expected to be paid on the maturity date of the Loan.  If the Loan is not fully repaid by Borrower on the maturity date of the Loan, the accrued interest shall be added to the principal of the Loan.</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b/>
          <w:color w:val="000000"/>
          <w:sz w:val="24"/>
        </w:rPr>
        <w:t>e.</w:t>
      </w:r>
      <w:r>
        <w:rPr>
          <w:rFonts w:ascii="Times New Roman;Times;serif" w:hAnsi="Times New Roman;Times;serif"/>
          <w:color w:val="000000"/>
          <w:sz w:val="20"/>
        </w:rPr>
        <w:t> </w:t>
      </w:r>
      <w:r>
        <w:rPr>
          <w:rFonts w:ascii="Times New Roman;Times;serif" w:hAnsi="Times New Roman;Times;serif"/>
          <w:b/>
          <w:color w:val="000000"/>
          <w:sz w:val="24"/>
          <w:u w:val="single"/>
        </w:rPr>
        <w:t>Payment Method</w:t>
      </w:r>
      <w:r>
        <w:rPr>
          <w:rFonts w:ascii="Times New Roman;Times;serif" w:hAnsi="Times New Roman;Times;serif"/>
          <w:color w:val="000000"/>
          <w:sz w:val="24"/>
        </w:rPr>
        <w:t>.    Payments under this Promissory Note shall be made by preauthorized Automated Clearinghouse transactions (“</w:t>
      </w:r>
      <w:r>
        <w:rPr>
          <w:rFonts w:ascii="Times New Roman;Times;serif" w:hAnsi="Times New Roman;Times;serif"/>
          <w:b/>
          <w:color w:val="000000"/>
          <w:sz w:val="24"/>
        </w:rPr>
        <w:t>ACH</w:t>
      </w:r>
      <w:r>
        <w:rPr>
          <w:rFonts w:ascii="Times New Roman;Times;serif" w:hAnsi="Times New Roman;Times;serif"/>
          <w:color w:val="000000"/>
          <w:sz w:val="24"/>
        </w:rPr>
        <w:t>”) or by</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such other reasonable method as Lender directs, to such bank account or other place as Lender may from time to time designate to Borrower in writing.</w:t>
      </w:r>
    </w:p>
    <w:p>
      <w:pPr>
        <w:pStyle w:val="TextBody"/>
        <w:bidi w:val="0"/>
        <w:spacing w:lineRule="auto" w:line="240" w:before="240" w:after="283"/>
        <w:ind w:left="0" w:right="0" w:hanging="0"/>
        <w:jc w:val="left"/>
        <w:rPr>
          <w:color w:val="000000"/>
        </w:rPr>
      </w:pPr>
      <w:r>
        <w:rPr>
          <w:color w:val="000000"/>
        </w:rPr>
        <w:t xml:space="preserve">             </w:t>
      </w:r>
      <w:r>
        <w:rPr>
          <w:rFonts w:ascii="Times New Roman;Times;serif" w:hAnsi="Times New Roman;Times;serif"/>
          <w:b/>
          <w:color w:val="000000"/>
          <w:sz w:val="24"/>
        </w:rPr>
        <w:t>f.</w:t>
      </w:r>
      <w:r>
        <w:rPr>
          <w:rFonts w:ascii="Times New Roman;Times;serif" w:hAnsi="Times New Roman;Times;serif"/>
          <w:color w:val="000000"/>
          <w:sz w:val="20"/>
        </w:rPr>
        <w:t> </w:t>
      </w:r>
      <w:r>
        <w:rPr>
          <w:rFonts w:ascii="Times New Roman;Times;serif" w:hAnsi="Times New Roman;Times;serif"/>
          <w:b/>
          <w:color w:val="000000"/>
          <w:sz w:val="24"/>
          <w:u w:val="single"/>
        </w:rPr>
        <w:t>Application of Payments</w:t>
      </w:r>
      <w:r>
        <w:rPr>
          <w:rFonts w:ascii="Times New Roman;Times;serif" w:hAnsi="Times New Roman;Times;serif"/>
          <w:color w:val="000000"/>
          <w:sz w:val="24"/>
        </w:rPr>
        <w:t>.   All payments shall be applied first (1st) to principal of the Loan, second (2nd) to accrued interest at the Regular Rate on the outstanding amount of the principal, and third (3rd) to accrued interest at the Default Rate on the outstanding amount of the principal.</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4.</w:t>
      </w:r>
      <w:r>
        <w:rPr>
          <w:rFonts w:ascii="Times New Roman;Times;serif" w:hAnsi="Times New Roman;Times;serif"/>
          <w:color w:val="000000"/>
          <w:sz w:val="20"/>
        </w:rPr>
        <w:t> </w:t>
      </w:r>
      <w:r>
        <w:rPr>
          <w:rFonts w:ascii="Times New Roman;Times;serif" w:hAnsi="Times New Roman;Times;serif"/>
          <w:b/>
          <w:color w:val="000000"/>
          <w:sz w:val="24"/>
          <w:u w:val="single"/>
        </w:rPr>
        <w:t>Late Charge</w:t>
      </w:r>
      <w:r>
        <w:rPr>
          <w:rFonts w:ascii="Times New Roman;Times;serif" w:hAnsi="Times New Roman;Times;serif"/>
          <w:color w:val="000000"/>
          <w:sz w:val="24"/>
        </w:rPr>
        <w:t>.   There is no Late Charge fees associated with the payment of the Loan by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5.</w:t>
      </w:r>
      <w:r>
        <w:rPr>
          <w:rFonts w:ascii="Times New Roman;Times;serif" w:hAnsi="Times New Roman;Times;serif"/>
          <w:color w:val="000000"/>
          <w:sz w:val="20"/>
        </w:rPr>
        <w:t> </w:t>
      </w:r>
      <w:r>
        <w:rPr>
          <w:rFonts w:ascii="Times New Roman;Times;serif" w:hAnsi="Times New Roman;Times;serif"/>
          <w:b/>
          <w:color w:val="000000"/>
          <w:sz w:val="24"/>
          <w:u w:val="single"/>
        </w:rPr>
        <w:t>Default</w:t>
      </w:r>
      <w:r>
        <w:rPr>
          <w:rFonts w:ascii="Times New Roman;Times;serif" w:hAnsi="Times New Roman;Times;serif"/>
          <w:color w:val="000000"/>
          <w:sz w:val="24"/>
        </w:rPr>
        <w:t>.   Borrower is in Default if Borrower fails to pay off all the outstanding balance of the Loan at the maturity of the Loan.  Upon the occurrence Default, the entire unpaid principal balance together with accrued interest thereon at the Regular Rate and all other obligations arising under this Promissory Note, shall become, without notice, immediately due and payable at the option of Lender.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6.</w:t>
      </w:r>
      <w:r>
        <w:rPr>
          <w:rFonts w:ascii="Times New Roman;Times;serif" w:hAnsi="Times New Roman;Times;serif"/>
          <w:color w:val="000000"/>
          <w:sz w:val="20"/>
        </w:rPr>
        <w:t> </w:t>
      </w:r>
      <w:r>
        <w:rPr>
          <w:rFonts w:ascii="Times New Roman;Times;serif" w:hAnsi="Times New Roman;Times;serif"/>
          <w:b/>
          <w:color w:val="000000"/>
          <w:sz w:val="24"/>
          <w:u w:val="single"/>
        </w:rPr>
        <w:t>Lender Fees and Expenses</w:t>
      </w:r>
      <w:r>
        <w:rPr>
          <w:rFonts w:ascii="Times New Roman;Times;serif" w:hAnsi="Times New Roman;Times;serif"/>
          <w:color w:val="000000"/>
          <w:sz w:val="24"/>
        </w:rPr>
        <w:t>.   Borrower agrees to pay to Lender, immediately upon written notice from Lender, all actual costs, expenses, disbursements, and legal fees and expenses incurred by Lender and its counsel in connection with: (a) the collection, attempted collection, or negotiation and documentation of any settlement or workout of any payment due hereunder, and (b) any suit or proceeding whatsoever in regard to this Promissory Note, including, without limitation, in connection with any litigation, mediation, bankruptcy or administrative proceeding, and including any appellate proceeding in connection therewith. It is the intent of the parties that Borrower pay all expenses and attorneys’ fees incurred by Lender as a result of Lender’s entering into the loan transaction evidenced by this Promissory Note.</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7.</w:t>
      </w:r>
      <w:r>
        <w:rPr>
          <w:rFonts w:ascii="Times New Roman;Times;serif" w:hAnsi="Times New Roman;Times;serif"/>
          <w:color w:val="000000"/>
          <w:sz w:val="20"/>
        </w:rPr>
        <w:t> </w:t>
      </w:r>
      <w:r>
        <w:rPr>
          <w:rFonts w:ascii="Times New Roman;Times;serif" w:hAnsi="Times New Roman;Times;serif"/>
          <w:b/>
          <w:color w:val="000000"/>
          <w:sz w:val="24"/>
          <w:u w:val="single"/>
        </w:rPr>
        <w:t>Time of the Essence</w:t>
      </w:r>
      <w:r>
        <w:rPr>
          <w:rFonts w:ascii="Times New Roman;Times;serif" w:hAnsi="Times New Roman;Times;serif"/>
          <w:color w:val="000000"/>
          <w:sz w:val="24"/>
        </w:rPr>
        <w:t>.   Time is of the essence with regard to the performance of the obligations of Borrower in this Promissory Note and each and every term, covenant and condition herein by or applicable to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8.</w:t>
      </w:r>
      <w:r>
        <w:rPr>
          <w:rFonts w:ascii="Times New Roman;Times;serif" w:hAnsi="Times New Roman;Times;serif"/>
          <w:color w:val="000000"/>
          <w:sz w:val="20"/>
        </w:rPr>
        <w:t> </w:t>
      </w:r>
      <w:r>
        <w:rPr>
          <w:rFonts w:ascii="Times New Roman;Times;serif" w:hAnsi="Times New Roman;Times;serif"/>
          <w:b/>
          <w:color w:val="000000"/>
          <w:sz w:val="24"/>
          <w:u w:val="single"/>
        </w:rPr>
        <w:t>Governing Law</w:t>
      </w:r>
      <w:r>
        <w:rPr>
          <w:rFonts w:ascii="Times New Roman;Times;serif" w:hAnsi="Times New Roman;Times;serif"/>
          <w:color w:val="000000"/>
          <w:sz w:val="24"/>
        </w:rPr>
        <w:t>.   This Promissory Note and the rights and obligations of all parties hereunder shall be governed by and construed in accordance with the laws of the State of Florida.</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9.</w:t>
      </w:r>
      <w:r>
        <w:rPr>
          <w:rFonts w:ascii="Times New Roman;Times;serif" w:hAnsi="Times New Roman;Times;serif"/>
          <w:color w:val="000000"/>
          <w:sz w:val="20"/>
        </w:rPr>
        <w:t> </w:t>
      </w:r>
      <w:r>
        <w:rPr>
          <w:rFonts w:ascii="Times New Roman;Times;serif" w:hAnsi="Times New Roman;Times;serif"/>
          <w:b/>
          <w:color w:val="000000"/>
          <w:sz w:val="24"/>
          <w:u w:val="single"/>
        </w:rPr>
        <w:t>Jurisdiction</w:t>
      </w:r>
      <w:r>
        <w:rPr>
          <w:rFonts w:ascii="Times New Roman;Times;serif" w:hAnsi="Times New Roman;Times;serif"/>
          <w:color w:val="000000"/>
          <w:sz w:val="24"/>
        </w:rPr>
        <w:t>.   The parties hereto irrevocably (a) agree that any suit, action or other legal proceeding arising out of or relating to this Promissory Note shall be brought in a court of record of the State of Florida sitting in Miami-Dade County, Florida, or in the courts of the United States of America located in such county and state, (b) agree to the exclusive jurisdiction of such court in any suit, action or proceeding, and (c) waive any objection which it may have to the laying of venue of any such suit, action or proceeding in such courts and any claim that any such suit, action or proceeding has been brought in an inconvenient forum.</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10.</w:t>
      </w:r>
      <w:r>
        <w:rPr>
          <w:rFonts w:ascii="Times New Roman;Times;serif" w:hAnsi="Times New Roman;Times;serif"/>
          <w:color w:val="000000"/>
          <w:sz w:val="20"/>
        </w:rPr>
        <w:t> </w:t>
      </w:r>
      <w:r>
        <w:rPr>
          <w:rFonts w:ascii="Times New Roman;Times;serif" w:hAnsi="Times New Roman;Times;serif"/>
          <w:b/>
          <w:color w:val="000000"/>
          <w:sz w:val="24"/>
          <w:u w:val="single"/>
        </w:rPr>
        <w:t>Interest Limitation</w:t>
      </w:r>
      <w:r>
        <w:rPr>
          <w:rFonts w:ascii="Times New Roman;Times;serif" w:hAnsi="Times New Roman;Times;serif"/>
          <w:color w:val="000000"/>
          <w:sz w:val="24"/>
        </w:rPr>
        <w:t>. All agreements between Borrower and Lender are hereby expressly limited so that in no contingency or event whatsoever shall the amount paid or agreed to be paid to Lender for the use, forbearance, loaning or detention of the indebtedness evidenced</w:t>
      </w:r>
    </w:p>
    <w:p>
      <w:pPr>
        <w:pStyle w:val="HorizontalLine"/>
        <w:pBdr>
          <w:bottom w:val="single" w:sz="12" w:space="0" w:color="808080"/>
        </w:pBdr>
        <w:bidi w:val="0"/>
        <w:spacing w:before="200" w:after="200"/>
        <w:jc w:val="left"/>
        <w:rPr/>
      </w:pPr>
      <w:r>
        <w:rPr/>
      </w:r>
    </w:p>
    <w:p>
      <w:pPr>
        <w:pStyle w:val="TextBody"/>
        <w:bidi w:val="0"/>
        <w:spacing w:before="240" w:after="283"/>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hereby exceed the maximum permissible under applicable law. If from any circumstances whatsoever, fulfillment of any provisions of this Promissory Note at any time given shall exceed the maximum permissible under applicable law, then, the obligation to be fulfilled shall automatically be reduced to an amount which complies with applicable law, and if from any circumstances Lender should ever receive as interest an amount which would exceed the highest lawful rate of interest, such amount which would be in excess of such lawful rate of interest shall be applied to the reduction of the principal balance evidenced hereby and not to the payment of interest. This provision shall control every other provision of all agreements between Borrower and Lender and shall also be binding upon and available to any subsequent holder of this Promissory Note. All sums paid or agreed to be paid to Lender for the use, forbearance, or detention of the indebtedness evidenced hereby, shall, to the extent permitted by applicable law, be amortized, prorated, allocated, and spread throughout the full stated term of this Promissory Note until payment in full so that the rate or amount of interest on account of the indebtedness evidenced hereby does not exceed the maximum lawful rate of interest from time to time in effect and applicable to the indebtedness evidenced hereby for so long as such indebtedness is outstanding.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11.</w:t>
      </w:r>
      <w:r>
        <w:rPr>
          <w:rFonts w:ascii="Times New Roman;Times;serif" w:hAnsi="Times New Roman;Times;serif"/>
          <w:color w:val="000000"/>
          <w:sz w:val="20"/>
        </w:rPr>
        <w:t> </w:t>
      </w:r>
      <w:r>
        <w:rPr>
          <w:rFonts w:ascii="Times New Roman;Times;serif" w:hAnsi="Times New Roman;Times;serif"/>
          <w:b/>
          <w:color w:val="000000"/>
          <w:sz w:val="24"/>
          <w:u w:val="single"/>
        </w:rPr>
        <w:t>Waivers</w:t>
      </w:r>
      <w:r>
        <w:rPr>
          <w:rFonts w:ascii="Times New Roman;Times;serif" w:hAnsi="Times New Roman;Times;serif"/>
          <w:color w:val="000000"/>
          <w:sz w:val="24"/>
        </w:rPr>
        <w:t>.</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color w:val="000000"/>
          <w:sz w:val="24"/>
        </w:rPr>
        <w:t>a.</w:t>
      </w:r>
      <w:r>
        <w:rPr>
          <w:rFonts w:ascii="Times New Roman;Times;serif" w:hAnsi="Times New Roman;Times;serif"/>
          <w:color w:val="000000"/>
          <w:sz w:val="20"/>
        </w:rPr>
        <w:t> </w:t>
      </w:r>
      <w:r>
        <w:rPr>
          <w:rFonts w:ascii="Times New Roman;Times;serif" w:hAnsi="Times New Roman;Times;serif"/>
          <w:color w:val="000000"/>
          <w:sz w:val="24"/>
        </w:rPr>
        <w:t>Borrower and all persons or entities liable for all or part of the principal balance evidenced by this Promissory Note severally hereby waive presentment for payment, protest, notice of non-payment and notice of dishonor.</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color w:val="000000"/>
          <w:sz w:val="24"/>
        </w:rPr>
        <w:t>b.</w:t>
      </w:r>
      <w:r>
        <w:rPr>
          <w:rFonts w:ascii="Times New Roman;Times;serif" w:hAnsi="Times New Roman;Times;serif"/>
          <w:color w:val="000000"/>
          <w:sz w:val="20"/>
        </w:rPr>
        <w:t> </w:t>
      </w:r>
      <w:r>
        <w:rPr>
          <w:rFonts w:ascii="Times New Roman;Times;serif" w:hAnsi="Times New Roman;Times;serif"/>
          <w:color w:val="000000"/>
          <w:sz w:val="24"/>
        </w:rPr>
        <w:t>Borrower and all persons and entities liable for all or part of the principal balance evidenced by this Promissory Note hereby consent, without affecting their liability, to the granting, with or without notice, of any extension or alteration of time for payment of any sum or sums due hereunder or for the performance of any covenant, condition or agreement contained herein or therein, or the taking or releasing or subordinating of any security for the indebtedness evidenced hereby, or the acceptance of additional security of any kind, or any other modification or amendment of this Promissory Note, any release of, or resort to any party liable for payment hereof, and agree that such action will in no way release or discharge the liability of such parties, whether or not granted or done with the knowledge or consent of such parties.</w:t>
      </w:r>
    </w:p>
    <w:p>
      <w:pPr>
        <w:pStyle w:val="TextBody"/>
        <w:bidi w:val="0"/>
        <w:spacing w:before="240" w:after="283"/>
        <w:ind w:left="0" w:right="0" w:hanging="0"/>
        <w:jc w:val="left"/>
        <w:rPr>
          <w:color w:val="000000"/>
        </w:rPr>
      </w:pPr>
      <w:r>
        <w:rPr>
          <w:color w:val="000000"/>
        </w:rPr>
        <w:t xml:space="preserve">                </w:t>
      </w:r>
      <w:r>
        <w:rPr>
          <w:rFonts w:ascii="Times New Roman;Times;serif" w:hAnsi="Times New Roman;Times;serif"/>
          <w:color w:val="000000"/>
          <w:sz w:val="24"/>
        </w:rPr>
        <w:t>c.</w:t>
      </w:r>
      <w:r>
        <w:rPr>
          <w:rFonts w:ascii="Times New Roman;Times;serif" w:hAnsi="Times New Roman;Times;serif"/>
          <w:color w:val="000000"/>
          <w:sz w:val="20"/>
        </w:rPr>
        <w:t> </w:t>
      </w:r>
      <w:r>
        <w:rPr>
          <w:rFonts w:ascii="Times New Roman;Times;serif" w:hAnsi="Times New Roman;Times;serif"/>
          <w:color w:val="000000"/>
          <w:sz w:val="24"/>
        </w:rPr>
        <w:t>Borrower and all persons and entities liable for all or a part of the principal balance evidenced by this Promissory Note hereby waive and renounce, to the extent permitted by applicable law, all rights to the benefits of any statute of limitations and any moratorium, reinstatement, marshalling, forbearance, valuation, stay, extension, redemption and appraisement now provided, or which may hereafter be provided, by the Constitution or laws of the United States of America or the state or commonwealth in which the Borrower is located against the enforcement and collection of the obligations evidenced by this Promissory Note.</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12.</w:t>
      </w:r>
      <w:r>
        <w:rPr>
          <w:rFonts w:ascii="Times New Roman;Times;serif" w:hAnsi="Times New Roman;Times;serif"/>
          <w:color w:val="000000"/>
          <w:sz w:val="20"/>
        </w:rPr>
        <w:t> </w:t>
      </w:r>
      <w:r>
        <w:rPr>
          <w:rFonts w:ascii="Times New Roman;Times;serif" w:hAnsi="Times New Roman;Times;serif"/>
          <w:b/>
          <w:color w:val="000000"/>
          <w:sz w:val="24"/>
          <w:u w:val="single"/>
        </w:rPr>
        <w:t>Borrower Not Released</w:t>
      </w:r>
      <w:r>
        <w:rPr>
          <w:rFonts w:ascii="Times New Roman;Times;serif" w:hAnsi="Times New Roman;Times;serif"/>
          <w:color w:val="000000"/>
          <w:sz w:val="24"/>
        </w:rPr>
        <w:t>.  No delay or omission of Lender to exercise any of its rights and remedies under this Promissory Note at any time following the happening of Default shall constitute a waiver of the right of Lender to exercise such rights and remedies at a later time by reason of Default or by reason of any subsequently occurring Default. The acceptance by Lender of payment of any sum payable hereunder after the due date of such payment shall not be a waiver of Lender’s right to either require prompt payment when due of all other sums payable hereunder or to declare a default for failure to make prompt payment.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13.</w:t>
      </w:r>
      <w:r>
        <w:rPr>
          <w:rFonts w:ascii="Times New Roman;Times;serif" w:hAnsi="Times New Roman;Times;serif"/>
          <w:color w:val="000000"/>
          <w:sz w:val="20"/>
        </w:rPr>
        <w:t> </w:t>
      </w:r>
      <w:r>
        <w:rPr>
          <w:rFonts w:ascii="Times New Roman;Times;serif" w:hAnsi="Times New Roman;Times;serif"/>
          <w:b/>
          <w:color w:val="000000"/>
          <w:sz w:val="24"/>
          <w:u w:val="single"/>
        </w:rPr>
        <w:t>Disbursement</w:t>
      </w:r>
      <w:r>
        <w:rPr>
          <w:rFonts w:ascii="Times New Roman;Times;serif" w:hAnsi="Times New Roman;Times;serif"/>
          <w:color w:val="000000"/>
          <w:sz w:val="24"/>
        </w:rPr>
        <w:t>.  Funds representing the proceeds of the indebtedness evidenced hereby shall not be disbursed to Borrower, but shall be used by Borrower to purchase Forty-Four Million Nine Hundred Forty-Six Thousand Nine Hundred and Seventy-Two (44,946,972) shares of Liquid Metal Technologies, Inc. (“LQMT”) from Lender.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14.</w:t>
      </w:r>
      <w:r>
        <w:rPr>
          <w:rFonts w:ascii="Times New Roman;Times;serif" w:hAnsi="Times New Roman;Times;serif"/>
          <w:color w:val="000000"/>
          <w:sz w:val="20"/>
        </w:rPr>
        <w:t> </w:t>
      </w:r>
      <w:r>
        <w:rPr>
          <w:rFonts w:ascii="Times New Roman;Times;serif" w:hAnsi="Times New Roman;Times;serif"/>
          <w:b/>
          <w:color w:val="000000"/>
          <w:sz w:val="24"/>
          <w:u w:val="single"/>
        </w:rPr>
        <w:t>Note Controls</w:t>
      </w:r>
      <w:r>
        <w:rPr>
          <w:rFonts w:ascii="Times New Roman;Times;serif" w:hAnsi="Times New Roman;Times;serif"/>
          <w:color w:val="000000"/>
          <w:sz w:val="24"/>
        </w:rPr>
        <w:t>.  In the event of any inconsistency between the provisions of this Promissory Note and those of Stock Purchase Agreement, the provisions of this Promissory Note shall control over those of Stock Purchase Agreement.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15.</w:t>
      </w:r>
      <w:r>
        <w:rPr>
          <w:rFonts w:ascii="Times New Roman;Times;serif" w:hAnsi="Times New Roman;Times;serif"/>
          <w:color w:val="000000"/>
          <w:sz w:val="20"/>
        </w:rPr>
        <w:t> </w:t>
      </w:r>
      <w:r>
        <w:rPr>
          <w:rFonts w:ascii="Times New Roman;Times;serif" w:hAnsi="Times New Roman;Times;serif"/>
          <w:b/>
          <w:color w:val="000000"/>
          <w:sz w:val="24"/>
          <w:u w:val="single"/>
        </w:rPr>
        <w:t>Notices</w:t>
      </w:r>
      <w:r>
        <w:rPr>
          <w:rFonts w:ascii="Times New Roman;Times;serif" w:hAnsi="Times New Roman;Times;serif"/>
          <w:color w:val="000000"/>
          <w:sz w:val="24"/>
        </w:rPr>
        <w:t>.  All notices required or permitted to be given hereunder to Borrower or Lender shall be given in the manner and to the place as provided by the parties from time to time in writing.</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16.</w:t>
      </w:r>
      <w:r>
        <w:rPr>
          <w:rFonts w:ascii="Times New Roman;Times;serif" w:hAnsi="Times New Roman;Times;serif"/>
          <w:color w:val="000000"/>
          <w:sz w:val="20"/>
        </w:rPr>
        <w:t> </w:t>
      </w:r>
      <w:r>
        <w:rPr>
          <w:rFonts w:ascii="Times New Roman;Times;serif" w:hAnsi="Times New Roman;Times;serif"/>
          <w:b/>
          <w:color w:val="000000"/>
          <w:sz w:val="24"/>
          <w:u w:val="single"/>
        </w:rPr>
        <w:t>Severability</w:t>
      </w:r>
      <w:r>
        <w:rPr>
          <w:rFonts w:ascii="Times New Roman;Times;serif" w:hAnsi="Times New Roman;Times;serif"/>
          <w:color w:val="000000"/>
          <w:sz w:val="24"/>
        </w:rPr>
        <w:t>.   The parties hereto intend that each provision of this Promissory Note comports with all applicable local, state and federal laws and judicial decisions. However, if any provision or any portion of any provision contained in this Promissory Note is held by a court of law to be invalid, illegal, unlawful, void or unenforceable as written in any respect, then it is the intent of all parties hereto that such portion or provision shall be given force to the fullest possible extent that it is legal, valid and enforceable, that the remainder of this Promissory Note shall be construed as if such illegal, invalid, unlawful, void or unenforceable portion or provision was not contained therein, and the rights, obligations and interests of Borrower and Lender under the remainder of this Promissory Note shall continue in full force and effect.</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17.</w:t>
      </w:r>
      <w:r>
        <w:rPr>
          <w:rFonts w:ascii="Times New Roman;Times;serif" w:hAnsi="Times New Roman;Times;serif"/>
          <w:color w:val="000000"/>
          <w:sz w:val="20"/>
        </w:rPr>
        <w:t> </w:t>
      </w:r>
      <w:r>
        <w:rPr>
          <w:rFonts w:ascii="Times New Roman;Times;serif" w:hAnsi="Times New Roman;Times;serif"/>
          <w:b/>
          <w:color w:val="000000"/>
          <w:sz w:val="24"/>
          <w:u w:val="single"/>
        </w:rPr>
        <w:t>Successors and Assigns</w:t>
      </w:r>
      <w:r>
        <w:rPr>
          <w:rFonts w:ascii="Times New Roman;Times;serif" w:hAnsi="Times New Roman;Times;serif"/>
          <w:color w:val="000000"/>
          <w:sz w:val="24"/>
        </w:rPr>
        <w:t>.  The provisions of this Promissory Note shall be binding upon Borrower and its successors and assigns and shall inure to the benefit of any Lender and its successors and assigns. As used herein the words “</w:t>
      </w:r>
      <w:r>
        <w:rPr>
          <w:rFonts w:ascii="Times New Roman;Times;serif" w:hAnsi="Times New Roman;Times;serif"/>
          <w:b/>
          <w:color w:val="000000"/>
          <w:sz w:val="24"/>
          <w:u w:val="single"/>
        </w:rPr>
        <w:t>successors and assigns</w:t>
      </w:r>
      <w:r>
        <w:rPr>
          <w:rFonts w:ascii="Times New Roman;Times;serif" w:hAnsi="Times New Roman;Times;serif"/>
          <w:color w:val="000000"/>
          <w:sz w:val="24"/>
        </w:rPr>
        <w:t>” shall also be deemed to include the heirs, representatives, administrators and executors of any natural person who is a party to this Promissory Note.</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18.</w:t>
      </w:r>
      <w:r>
        <w:rPr>
          <w:rFonts w:ascii="Times New Roman;Times;serif" w:hAnsi="Times New Roman;Times;serif"/>
          <w:color w:val="000000"/>
          <w:sz w:val="20"/>
        </w:rPr>
        <w:t> </w:t>
      </w:r>
      <w:r>
        <w:rPr>
          <w:rFonts w:ascii="Times New Roman;Times;serif" w:hAnsi="Times New Roman;Times;serif"/>
          <w:b/>
          <w:color w:val="000000"/>
          <w:sz w:val="24"/>
          <w:u w:val="single"/>
        </w:rPr>
        <w:t>Remedies Cumulative</w:t>
      </w:r>
      <w:r>
        <w:rPr>
          <w:rFonts w:ascii="Times New Roman;Times;serif" w:hAnsi="Times New Roman;Times;serif"/>
          <w:color w:val="000000"/>
          <w:sz w:val="24"/>
        </w:rPr>
        <w:t>.   The remedies of Lender as provided in this Promissory Note shall be cumulative and concurrent, may be pursued singly, successively or together at the sole discretion of Lender, may be exercised as often as occasion for their exercise shall occur and in no event shall the failure to exercise any such right or remedy be construed as a waiver or release of such right or remedy. No remedy under this Promissory Note conferred upon or reserved to Lender is intended to be exclusive of any other remedy provided in this Promissory Note or provided by law, but each shall be cumulative and shall be in addition to every other remedy given under this Promissory Note or now or hereafter existing at law or in equity or by statute.</w:t>
      </w:r>
    </w:p>
    <w:p>
      <w:pPr>
        <w:pStyle w:val="HorizontalLine"/>
        <w:pBdr>
          <w:bottom w:val="single" w:sz="12" w:space="0" w:color="808080"/>
        </w:pBdr>
        <w:bidi w:val="0"/>
        <w:spacing w:before="200" w:after="200"/>
        <w:jc w:val="left"/>
        <w:rPr/>
      </w:pPr>
      <w:r>
        <w:rPr/>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19.</w:t>
      </w:r>
      <w:r>
        <w:rPr>
          <w:rFonts w:ascii="Times New Roman;Times;serif" w:hAnsi="Times New Roman;Times;serif"/>
          <w:color w:val="000000"/>
          <w:sz w:val="20"/>
        </w:rPr>
        <w:t> </w:t>
      </w:r>
      <w:r>
        <w:rPr>
          <w:rFonts w:ascii="Times New Roman;Times;serif" w:hAnsi="Times New Roman;Times;serif"/>
          <w:b/>
          <w:color w:val="000000"/>
          <w:sz w:val="24"/>
          <w:u w:val="single"/>
        </w:rPr>
        <w:t>No Oral Modification</w:t>
      </w:r>
      <w:r>
        <w:rPr>
          <w:rFonts w:ascii="Times New Roman;Times;serif" w:hAnsi="Times New Roman;Times;serif"/>
          <w:color w:val="000000"/>
          <w:sz w:val="24"/>
        </w:rPr>
        <w:t>.  This Promissory Note may not be modified or discharged orally, but only by an agreement in writing signed by Lender and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20.</w:t>
      </w:r>
      <w:r>
        <w:rPr>
          <w:rFonts w:ascii="Times New Roman;Times;serif" w:hAnsi="Times New Roman;Times;serif"/>
          <w:color w:val="000000"/>
          <w:sz w:val="20"/>
        </w:rPr>
        <w:t> </w:t>
      </w:r>
      <w:r>
        <w:rPr>
          <w:rFonts w:ascii="Times New Roman;Times;serif" w:hAnsi="Times New Roman;Times;serif"/>
          <w:b/>
          <w:color w:val="000000"/>
          <w:sz w:val="24"/>
          <w:u w:val="single"/>
        </w:rPr>
        <w:t>Transfer of Promissory Note</w:t>
      </w:r>
      <w:r>
        <w:rPr>
          <w:rFonts w:ascii="Times New Roman;Times;serif" w:hAnsi="Times New Roman;Times;serif"/>
          <w:color w:val="000000"/>
          <w:sz w:val="24"/>
        </w:rPr>
        <w:t>.  Lender may, at any time, sell, transfer or assign this Promissory Note.</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21.</w:t>
      </w:r>
      <w:r>
        <w:rPr>
          <w:rFonts w:ascii="Times New Roman;Times;serif" w:hAnsi="Times New Roman;Times;serif"/>
          <w:color w:val="000000"/>
          <w:sz w:val="20"/>
        </w:rPr>
        <w:t> </w:t>
      </w:r>
      <w:r>
        <w:rPr>
          <w:rFonts w:ascii="Times New Roman;Times;serif" w:hAnsi="Times New Roman;Times;serif"/>
          <w:b/>
          <w:color w:val="000000"/>
          <w:sz w:val="24"/>
          <w:u w:val="single"/>
        </w:rPr>
        <w:t>Joint and Several Liability</w:t>
      </w:r>
      <w:r>
        <w:rPr>
          <w:rFonts w:ascii="Times New Roman;Times;serif" w:hAnsi="Times New Roman;Times;serif"/>
          <w:color w:val="000000"/>
          <w:sz w:val="24"/>
        </w:rPr>
        <w:t>.   In the event that this Promissory Note is made by more than one Borrower, the promises and agreements herein shall be construed to be and are hereby declared to be the joint and several promises and agreements of all Borrowers and shall constitute the joint and several obligations of each of Borrowers and shall be fully binding upon and enforceable against each of Borrowers. Neither the death nor release of any person or party to this Promissory Note shall affect or release the joint and several liability of any other person or party. Lender may at its option enforce this Promissory Note against one or all of Borrowers, and Lender shall not be required to resort to enforcement against each of Borrowers and the failure to proceed against or join any Borrower shall not affect the joint and several liability of any other Borrower.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22.</w:t>
      </w:r>
      <w:r>
        <w:rPr>
          <w:rFonts w:ascii="Times New Roman;Times;serif" w:hAnsi="Times New Roman;Times;serif"/>
          <w:color w:val="000000"/>
          <w:sz w:val="20"/>
        </w:rPr>
        <w:t> </w:t>
      </w:r>
      <w:r>
        <w:rPr>
          <w:rFonts w:ascii="Times New Roman;Times;serif" w:hAnsi="Times New Roman;Times;serif"/>
          <w:b/>
          <w:color w:val="000000"/>
          <w:sz w:val="24"/>
          <w:u w:val="single"/>
        </w:rPr>
        <w:t>WAIVER OF JURY TRIAL</w:t>
      </w:r>
      <w:r>
        <w:rPr>
          <w:rFonts w:ascii="Times New Roman;Times;serif" w:hAnsi="Times New Roman;Times;serif"/>
          <w:color w:val="000000"/>
          <w:sz w:val="24"/>
        </w:rPr>
        <w:t>.   LENDER BY ITS ACCEPTANCE HEREOF AND BORROWER HEREBY VOLUNTARILY, KNOWINGLY AND INTENTIONALLY WAIVE ANY AND ALL RIGHTS TO TRIAL BY JURY IN ANY LEGAL ACTION OR PROCEEDING ARISING UNDER THIS PROMISSORY NOTE, REGARDLESS OF WHETHER SUCH ACTION OR PROCEEDING CONCERNS ANY CONTRACTUAL OR TORTIOUS OR OTHER CLAIM. BORROWER ACKNOWLEDGES THAT THIS WAIVER OF JURY TRIAL IS A MATERIAL INDUCEMENT TO LENDER IN EXTENDING CREDIT TO BORROWER, THAT LENDER WOULD NOT HAVE EXTENDED SUCH CREDIT WITHOUT THIS JURY TRIAL WAIVER, AND THAT BORROWER HAS BEEN REPRESENTED BY AN ATTORNEY OR HAS HAD AN OPPORTUNITY TO CONSULT WITH AN ATTORNEY IN CONNECTION WITH THIS JURY TRIAL WAIVER AND UNDERSTANDS THE LEGAL EFFECT OF THIS WAIVER.</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4"/>
        </w:rPr>
        <w:t>23.</w:t>
      </w:r>
      <w:r>
        <w:rPr>
          <w:rFonts w:ascii="Times New Roman;Times;serif" w:hAnsi="Times New Roman;Times;serif"/>
          <w:color w:val="000000"/>
          <w:sz w:val="20"/>
        </w:rPr>
        <w:t> </w:t>
      </w:r>
      <w:r>
        <w:rPr>
          <w:rFonts w:ascii="Times New Roman;Times;serif" w:hAnsi="Times New Roman;Times;serif"/>
          <w:b/>
          <w:color w:val="000000"/>
          <w:sz w:val="24"/>
          <w:u w:val="single"/>
        </w:rPr>
        <w:t>Headings</w:t>
      </w:r>
      <w:r>
        <w:rPr>
          <w:rFonts w:ascii="Times New Roman;Times;serif" w:hAnsi="Times New Roman;Times;serif"/>
          <w:color w:val="000000"/>
          <w:sz w:val="24"/>
        </w:rPr>
        <w:t>.   The headings or captions contained in this Promissory Note are solely for convenience of reference and shall not affect its interpretation.</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240" w:after="283"/>
        <w:jc w:val="center"/>
        <w:rPr>
          <w:rFonts w:ascii="Times New Roman;Times;serif" w:hAnsi="Times New Roman;Times;serif"/>
          <w:i/>
          <w:color w:val="000000"/>
          <w:sz w:val="24"/>
        </w:rPr>
      </w:pPr>
      <w:r>
        <w:rPr>
          <w:rFonts w:ascii="Times New Roman;Times;serif" w:hAnsi="Times New Roman;Times;serif"/>
          <w:i/>
          <w:color w:val="000000"/>
          <w:sz w:val="24"/>
        </w:rPr>
        <w:t>[The remainder of this page is intentionally left blank.]</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160"/>
        <w:jc w:val="left"/>
        <w:rPr/>
      </w:pPr>
      <w:r>
        <w:rPr/>
      </w:r>
    </w:p>
    <w:p>
      <w:pPr>
        <w:pStyle w:val="TextBody"/>
        <w:bidi w:val="0"/>
        <w:spacing w:before="0" w:after="0"/>
        <w:ind w:left="0" w:right="0" w:firstLine="857"/>
        <w:jc w:val="left"/>
        <w:rPr>
          <w:rFonts w:ascii="Times New Roman;Times;serif" w:hAnsi="Times New Roman;Times;serif"/>
          <w:color w:val="000000"/>
          <w:sz w:val="24"/>
        </w:rPr>
      </w:pPr>
      <w:r>
        <w:rPr>
          <w:rFonts w:ascii="Times New Roman;Times;serif" w:hAnsi="Times New Roman;Times;serif"/>
          <w:b/>
          <w:color w:val="000000"/>
          <w:sz w:val="24"/>
        </w:rPr>
        <w:t>IN WITNESS WHEREOF</w:t>
      </w:r>
      <w:r>
        <w:rPr>
          <w:rFonts w:ascii="Times New Roman;Times;serif" w:hAnsi="Times New Roman;Times;serif"/>
          <w:color w:val="000000"/>
          <w:sz w:val="24"/>
        </w:rPr>
        <w:t>, Borrower has executed this Promissory Note as of the date and year first above written.</w:t>
      </w:r>
    </w:p>
    <w:p>
      <w:pPr>
        <w:pStyle w:val="TextBody"/>
        <w:bidi w:val="0"/>
        <w:spacing w:before="0" w:after="0"/>
        <w:ind w:left="0" w:right="0" w:firstLine="857"/>
        <w:jc w:val="left"/>
        <w:rPr>
          <w:sz w:val="24"/>
        </w:rPr>
      </w:pPr>
      <w:r>
        <w:rPr>
          <w:sz w:val="24"/>
        </w:rPr>
      </w:r>
    </w:p>
    <w:p>
      <w:pPr>
        <w:pStyle w:val="TextBody"/>
        <w:bidi w:val="0"/>
        <w:spacing w:before="0" w:after="0"/>
        <w:ind w:left="0" w:right="0" w:firstLine="857"/>
        <w:jc w:val="left"/>
        <w:rPr>
          <w:sz w:val="24"/>
        </w:rPr>
      </w:pPr>
      <w:r>
        <w:rPr>
          <w:sz w:val="24"/>
        </w:rPr>
      </w:r>
    </w:p>
    <w:tbl>
      <w:tblPr>
        <w:tblW w:w="3620" w:type="dxa"/>
        <w:jc w:val="left"/>
        <w:tblInd w:w="0" w:type="dxa"/>
        <w:tblLayout w:type="fixed"/>
        <w:tblCellMar>
          <w:top w:w="0" w:type="dxa"/>
          <w:left w:w="0" w:type="dxa"/>
          <w:bottom w:w="0" w:type="dxa"/>
          <w:right w:w="0" w:type="dxa"/>
        </w:tblCellMar>
      </w:tblPr>
      <w:tblGrid>
        <w:gridCol w:w="60"/>
        <w:gridCol w:w="3560"/>
      </w:tblGrid>
      <w:tr>
        <w:trPr/>
        <w:tc>
          <w:tcPr>
            <w:tcW w:w="6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r>
              <w:rPr>
                <w:b/>
                <w:sz w:val="24"/>
              </w:rPr>
              <w:t>XEX INTERNATIONAL, LLC.</w:t>
            </w:r>
          </w:p>
        </w:tc>
      </w:tr>
      <w:tr>
        <w:trPr/>
        <w:tc>
          <w:tcPr>
            <w:tcW w:w="6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sz w:val="24"/>
              </w:rPr>
            </w:pPr>
            <w:r>
              <w:rPr>
                <w:sz w:val="24"/>
              </w:rPr>
              <w:t xml:space="preserve">a Florida Limited Liability Company </w:t>
            </w:r>
          </w:p>
          <w:p>
            <w:pPr>
              <w:pStyle w:val="TableContents"/>
              <w:bidi w:val="0"/>
              <w:spacing w:before="0" w:after="0"/>
              <w:jc w:val="left"/>
              <w:rPr/>
            </w:pPr>
            <w:r>
              <w:rPr/>
            </w:r>
          </w:p>
          <w:p>
            <w:pPr>
              <w:pStyle w:val="TableContents"/>
              <w:bidi w:val="0"/>
              <w:spacing w:before="0" w:after="0"/>
              <w:jc w:val="left"/>
              <w:rPr/>
            </w:pPr>
            <w:r>
              <w:rPr/>
            </w:r>
          </w:p>
        </w:tc>
      </w:tr>
      <w:tr>
        <w:trPr/>
        <w:tc>
          <w:tcPr>
            <w:tcW w:w="6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r>
              <w:rPr>
                <w:sz w:val="24"/>
              </w:rPr>
              <w:t>By: ________________________</w:t>
            </w:r>
          </w:p>
        </w:tc>
      </w:tr>
      <w:tr>
        <w:trPr/>
        <w:tc>
          <w:tcPr>
            <w:tcW w:w="6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r>
              <w:rPr>
                <w:b/>
                <w:sz w:val="24"/>
              </w:rPr>
              <w:t>JINGKE LIN</w:t>
            </w:r>
            <w:r>
              <w:rPr>
                <w:sz w:val="24"/>
              </w:rPr>
              <w:t>, Manager</w:t>
            </w:r>
          </w:p>
        </w:tc>
      </w:tr>
    </w:tbl>
    <w:p>
      <w:pPr>
        <w:pStyle w:val="TextBody"/>
        <w:bidi w:val="0"/>
        <w:spacing w:before="0" w:after="0"/>
        <w:ind w:left="0" w:right="0" w:firstLine="857"/>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16763</Words>
  <Characters>87074</Characters>
  <CharactersWithSpaces>104225</CharactersWithSpaces>
  <Paragraphs>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