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_____________________________________</w:t>
      </w:r>
    </w:p>
    <w:p>
      <w:pPr>
        <w:spacing w:after="0" w:line="26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Pursuant to Section 13 or 15(d) of</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The Securities Exchange Act of 1934</w:t>
      </w:r>
    </w:p>
    <w:p>
      <w:pPr>
        <w:spacing w:after="0" w:line="22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October 25, 2016</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LIQUIDMETAL TECHNOLOGIES, INC.</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860" w:type="dxa"/>
            <w:vAlign w:val="bottom"/>
          </w:tcPr>
          <w:p>
            <w:pPr>
              <w:jc w:val="center"/>
              <w:ind w:right="830"/>
              <w:spacing w:after="0"/>
              <w:rPr>
                <w:sz w:val="20"/>
                <w:szCs w:val="20"/>
                <w:color w:val="auto"/>
              </w:rPr>
            </w:pPr>
            <w:r>
              <w:rPr>
                <w:rFonts w:ascii="Arial" w:cs="Arial" w:eastAsia="Arial" w:hAnsi="Arial"/>
                <w:sz w:val="18"/>
                <w:szCs w:val="18"/>
                <w:b w:val="1"/>
                <w:bCs w:val="1"/>
                <w:color w:val="auto"/>
                <w:w w:val="93"/>
              </w:rPr>
              <w:t>Delaware</w:t>
            </w:r>
          </w:p>
        </w:tc>
        <w:tc>
          <w:tcPr>
            <w:tcW w:w="4020" w:type="dxa"/>
            <w:vAlign w:val="bottom"/>
          </w:tcPr>
          <w:p>
            <w:pPr>
              <w:jc w:val="right"/>
              <w:ind w:right="1590"/>
              <w:spacing w:after="0"/>
              <w:rPr>
                <w:sz w:val="20"/>
                <w:szCs w:val="20"/>
                <w:color w:val="auto"/>
              </w:rPr>
            </w:pPr>
            <w:r>
              <w:rPr>
                <w:rFonts w:ascii="Arial" w:cs="Arial" w:eastAsia="Arial" w:hAnsi="Arial"/>
                <w:sz w:val="18"/>
                <w:szCs w:val="18"/>
                <w:b w:val="1"/>
                <w:bCs w:val="1"/>
                <w:color w:val="auto"/>
              </w:rPr>
              <w:t>001-31332</w:t>
            </w:r>
          </w:p>
        </w:tc>
        <w:tc>
          <w:tcPr>
            <w:tcW w:w="242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33-0264467</w:t>
            </w:r>
          </w:p>
        </w:tc>
      </w:tr>
      <w:tr>
        <w:trPr>
          <w:trHeight w:val="216"/>
        </w:trPr>
        <w:tc>
          <w:tcPr>
            <w:tcW w:w="286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w:t>
            </w:r>
          </w:p>
        </w:tc>
        <w:tc>
          <w:tcPr>
            <w:tcW w:w="4020" w:type="dxa"/>
            <w:vAlign w:val="bottom"/>
          </w:tcPr>
          <w:p>
            <w:pPr>
              <w:jc w:val="center"/>
              <w:ind w:right="50"/>
              <w:spacing w:after="0"/>
              <w:rPr>
                <w:sz w:val="20"/>
                <w:szCs w:val="20"/>
                <w:color w:val="auto"/>
              </w:rPr>
            </w:pPr>
            <w:r>
              <w:rPr>
                <w:rFonts w:ascii="Arial" w:cs="Arial" w:eastAsia="Arial" w:hAnsi="Arial"/>
                <w:sz w:val="18"/>
                <w:szCs w:val="18"/>
                <w:color w:val="auto"/>
                <w:w w:val="93"/>
              </w:rPr>
              <w:t>(Commission File Number)</w:t>
            </w:r>
          </w:p>
        </w:tc>
        <w:tc>
          <w:tcPr>
            <w:tcW w:w="2420" w:type="dxa"/>
            <w:vAlign w:val="bottom"/>
          </w:tcPr>
          <w:p>
            <w:pPr>
              <w:jc w:val="center"/>
              <w:ind w:left="970"/>
              <w:spacing w:after="0"/>
              <w:rPr>
                <w:sz w:val="20"/>
                <w:szCs w:val="20"/>
                <w:color w:val="auto"/>
              </w:rPr>
            </w:pPr>
            <w:r>
              <w:rPr>
                <w:rFonts w:ascii="Arial" w:cs="Arial" w:eastAsia="Arial" w:hAnsi="Arial"/>
                <w:sz w:val="18"/>
                <w:szCs w:val="18"/>
                <w:color w:val="auto"/>
                <w:w w:val="93"/>
              </w:rPr>
              <w:t>(I.R.S. Employer</w:t>
            </w:r>
          </w:p>
        </w:tc>
      </w:tr>
      <w:tr>
        <w:trPr>
          <w:trHeight w:val="230"/>
        </w:trPr>
        <w:tc>
          <w:tcPr>
            <w:tcW w:w="2860" w:type="dxa"/>
            <w:vAlign w:val="bottom"/>
          </w:tcPr>
          <w:p>
            <w:pPr>
              <w:jc w:val="center"/>
              <w:ind w:right="830"/>
              <w:spacing w:after="0"/>
              <w:rPr>
                <w:sz w:val="20"/>
                <w:szCs w:val="20"/>
                <w:color w:val="auto"/>
              </w:rPr>
            </w:pPr>
            <w:r>
              <w:rPr>
                <w:rFonts w:ascii="Arial" w:cs="Arial" w:eastAsia="Arial" w:hAnsi="Arial"/>
                <w:sz w:val="18"/>
                <w:szCs w:val="18"/>
                <w:color w:val="auto"/>
                <w:w w:val="93"/>
              </w:rPr>
              <w:t>of incorporation)</w:t>
            </w:r>
          </w:p>
        </w:tc>
        <w:tc>
          <w:tcPr>
            <w:tcW w:w="4020" w:type="dxa"/>
            <w:vAlign w:val="bottom"/>
          </w:tcPr>
          <w:p>
            <w:pPr>
              <w:spacing w:after="0"/>
              <w:rPr>
                <w:sz w:val="20"/>
                <w:szCs w:val="20"/>
                <w:color w:val="auto"/>
              </w:rPr>
            </w:pPr>
          </w:p>
        </w:tc>
        <w:tc>
          <w:tcPr>
            <w:tcW w:w="2420" w:type="dxa"/>
            <w:vAlign w:val="bottom"/>
          </w:tcPr>
          <w:p>
            <w:pPr>
              <w:jc w:val="center"/>
              <w:ind w:left="9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30452 Esperanza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Rancho Santa Margarita, California 92688</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(949) 635-2100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5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LIQUIDMETAL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26, 2016, Liquidmetal Technologies, Inc. (the “</w:t>
      </w:r>
      <w:r>
        <w:rPr>
          <w:rFonts w:ascii="Arial" w:cs="Arial" w:eastAsia="Arial" w:hAnsi="Arial"/>
          <w:sz w:val="18"/>
          <w:szCs w:val="18"/>
          <w:u w:val="single" w:color="auto"/>
          <w:color w:val="auto"/>
        </w:rPr>
        <w:t>Company</w:t>
      </w:r>
      <w:r>
        <w:rPr>
          <w:rFonts w:ascii="Arial" w:cs="Arial" w:eastAsia="Arial" w:hAnsi="Arial"/>
          <w:sz w:val="18"/>
          <w:szCs w:val="18"/>
          <w:color w:val="auto"/>
        </w:rPr>
        <w:t>”) held an additional closing pursuant to its previously disclosed Securities Purchase Agreement, dated March 10, 2016 (as amended,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with Liquidmetal Technology Limited, a Hong Kong company (the “</w:t>
      </w:r>
      <w:r>
        <w:rPr>
          <w:rFonts w:ascii="Arial" w:cs="Arial" w:eastAsia="Arial" w:hAnsi="Arial"/>
          <w:sz w:val="18"/>
          <w:szCs w:val="18"/>
          <w:u w:val="single" w:color="auto"/>
          <w:color w:val="auto"/>
        </w:rPr>
        <w:t>Investor</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additional closing (the “</w:t>
      </w:r>
      <w:r>
        <w:rPr>
          <w:rFonts w:ascii="Arial" w:cs="Arial" w:eastAsia="Arial" w:hAnsi="Arial"/>
          <w:sz w:val="18"/>
          <w:szCs w:val="18"/>
          <w:u w:val="single" w:color="auto"/>
          <w:color w:val="auto"/>
        </w:rPr>
        <w:t>Additional Closing</w:t>
      </w:r>
      <w:r>
        <w:rPr>
          <w:rFonts w:ascii="Arial" w:cs="Arial" w:eastAsia="Arial" w:hAnsi="Arial"/>
          <w:sz w:val="18"/>
          <w:szCs w:val="18"/>
          <w:color w:val="auto"/>
        </w:rPr>
        <w:t>”), the Company issued and sold to Investor an aggregate of 300,000,000 shares of Company’s common stock for an aggregate purchase price of $55,000,000, comprised of 200,000,000 shares at a price of $0.15 per share and 100,000,000 shares at a price of $0.25 per share. As previously disclosed, Investor is a company owned by Mr. Yeung Tak Lugee Li (“</w:t>
      </w:r>
      <w:r>
        <w:rPr>
          <w:rFonts w:ascii="Arial" w:cs="Arial" w:eastAsia="Arial" w:hAnsi="Arial"/>
          <w:sz w:val="18"/>
          <w:szCs w:val="18"/>
          <w:u w:val="single" w:color="auto"/>
          <w:color w:val="auto"/>
        </w:rPr>
        <w:t>Mr. Li</w:t>
      </w:r>
      <w:r>
        <w:rPr>
          <w:rFonts w:ascii="Arial" w:cs="Arial" w:eastAsia="Arial" w:hAnsi="Arial"/>
          <w:sz w:val="18"/>
          <w:szCs w:val="18"/>
          <w:color w:val="auto"/>
        </w:rPr>
        <w:t>”) organized in 2016 for purposes of making an investment in the Company pursuant to the Purchase Agreement. As a result of the Additional Closing, Investor has completed its entire investment in the Company contemplated by the Purchase Agreement.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issuing shares of its common stock under the Purchase Agreement at the Additional Closing, the Company relied upon the exemption from securities registration afforded by Rule 506 of Regulation D as promulgated by the SEC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and/or Section 4(2) of the Securities Act.</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Purchase Agreement provides that, after completing the Additional Closing, Investor has the right to designate an additional two (2) individuals to serve on the Company’s Board of Directors in addition to the prior designation of Mr. Li as a director (for a total of three (3) of the seven (7) members of the Company’s Board of Directors) and one such designee shall serve as Chairman of the Board of Directors. In anticipation of the Additional Closing, on October 25, 2016, the Board of Directors (i) appointed Mr. Li as Chairman of the Board of Directors of the Company and (ii) appointed Mr. Isaac Bresnick and Mr. Vincent Carrubba, who were designated by the Investor, as new directors of the Company effective as of the Additional Closing. Mr. Abdi Mahamedi was also appointed as Vice Chairman of the Board of Directors.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Mr. Robert Howard-Anderson resigned from the Board of Directors effective as of the date of the Additional Closing. Mr. Howard-Anderson’s resignation was not the result of any disagreement with the Company on any matter relating to the Company’s operations, policies or practices. In connection with Mr. Howard-Anderson’s resignation, his previously issued options to purchase 1,210,000 shares of Company common stock were amended to accelerate the vesting of such options and permit him to exercise his options through the third anniversary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both"/>
        <w:ind w:firstLine="648"/>
        <w:spacing w:after="0" w:line="290" w:lineRule="auto"/>
        <w:rPr>
          <w:sz w:val="20"/>
          <w:szCs w:val="20"/>
          <w:color w:val="auto"/>
        </w:rPr>
      </w:pPr>
      <w:r>
        <w:rPr>
          <w:rFonts w:ascii="Arial" w:cs="Arial" w:eastAsia="Arial" w:hAnsi="Arial"/>
          <w:sz w:val="16"/>
          <w:szCs w:val="16"/>
          <w:color w:val="auto"/>
        </w:rPr>
        <w:t>Mr. Bresnick, age 31, currently serves as Legal and Regulatory Affairs Director for the Leader Biomedical Group, a private company based in Hong Kong and operating from Amsterdam, the Netherlands, and has served in that role since October 2014. At Leader Biomedical, Mr. Bresnick is responsible for the direction and management of legal affairs, regulatory affairs, quality control, and quality assurance, as well as for advising executive management of affiliated companies. Mr. Bresnick also currently serves as the Managing Director of aap Joints GmbH, a private company in Berlin, Germany, and has served in that role since July 2013. From January 2013 through June 2013, Mr. Bresnick provided full-time consulting services to AAP Orthopedics Ltd., a BVI company. Mr. Bresnick received his J.D. from the University of Connecticut School of Law in 2013, and his B.S. in Industrial Design from the University of Bridgeport in 2008. After completion of his undergraduate studies and continuing through his enrollment at UCONN Law, Mr. Bresnick worked as Senior Arrangements Designer for Electric Boat Corporation, a subsidiary of General Dynamics, from June 2008 through December 2012.</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Carrubba, age 57, is an experienced corporate leader and serial entrepreneur with extensive senior executive, technical and manufacturing experience. From September 2014 through the present, Mr. Carrubba has served as the CEO of Admiral Composite Technologies Inc., where he has developed new technologies for environmentally responsible and innovative building materials which represent Admiral's product lines. Mr. Carrubba has also served as Admiral's Chairman since its inception in 2009. From September 2014 through the present, Mr. Carrubba has served as the CEO of Asia Sourcing &amp; Communications USA Inc. and he has served as its Chairman since its inception in 2013. From 2002 through August 2014, Mr. Carrubba served as the Director of R&amp;D for Interdynamics Inc., IDQ Holdings, where he was responsible for all R&amp;D and QC matters, including the management of engineering, legal, patenting, regulatory, insurance and consumer relations matters. Mr. Carrubba has held engineering and executive positions with Xerox, General Electric, Bristol Meyers-Squibb and ATT and he is the inventor of several patents related to telecommunications, professional tools and consumer products. Mr. Carrubba received a Bachelor of Arts degree in Engineering Science and a Bachelor of Science Degree in Mechanical Engineering from Colombia University SEAS in 1982.</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Bresnick and Mr. Carrubba have not yet been named to any committees of the Board of Directors of the Company. As non-employee directors, Mr. Bresnick and Mr. Carrubba will be compensated in accordance with the Company’s compensation program for non-employee directors that will be established by the Board of Directors, and it is anticipated that such program will include grants of stock options or other equity-based award under the Company’s equity incentive plan in an amount to be determined by the Board of Directors.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issued a press release, dated October 27, 2016, relating to the Additional Closing. The press release is attached to this Current Report on Form 8-K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20"/>
          </w:cols>
          <w:pgMar w:left="240" w:top="584"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ind w:right="488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31750</wp:posOffset>
            </wp:positionV>
            <wp:extent cx="6774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4920" w:space="720"/>
            <w:col w:w="5780"/>
          </w:cols>
          <w:pgMar w:left="240" w:top="584" w:right="239" w:bottom="1440" w:gutter="0" w:footer="0" w:header="0"/>
          <w:type w:val="continuous"/>
        </w:sectPr>
      </w:pPr>
    </w:p>
    <w:p>
      <w:pPr>
        <w:spacing w:after="0" w:line="47" w:lineRule="exact"/>
        <w:rPr>
          <w:sz w:val="20"/>
          <w:szCs w:val="20"/>
          <w:color w:val="auto"/>
        </w:rPr>
      </w:pPr>
    </w:p>
    <w:p>
      <w:pPr>
        <w:ind w:left="180"/>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LIQUIDMETAL TECHNOLOGIES,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Thomas Steipp</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Steipp,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2016</w:t>
      </w:r>
    </w:p>
    <w:p>
      <w:pPr>
        <w:sectPr>
          <w:pgSz w:w="11900" w:h="16838" w:orient="portrait"/>
          <w:cols w:equalWidth="0" w:num="1">
            <w:col w:w="11220"/>
          </w:cols>
          <w:pgMar w:left="240" w:top="58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171513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513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auto"/>
        </w:rPr>
        <w:t>News Release</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Otis Buchanan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Liquidmetal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1-949-635-2120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otis.buchanan@liquidmetal.com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Liquidmetal Technologies finalizes $63.4 Million Equity Raise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Rancho Santa Margarita, California – October 27, 2016 - Liquidmetal® Technologies, Inc. (OTCQB: LQMT) ("LQMT", “Company”), </w:t>
      </w:r>
      <w:r>
        <w:rPr>
          <w:rFonts w:ascii="Arial" w:cs="Arial" w:eastAsia="Arial" w:hAnsi="Arial"/>
          <w:sz w:val="17"/>
          <w:szCs w:val="17"/>
          <w:color w:val="auto"/>
        </w:rPr>
        <w:t>the world’s</w:t>
      </w:r>
      <w:r>
        <w:rPr>
          <w:rFonts w:ascii="Arial" w:cs="Arial" w:eastAsia="Arial" w:hAnsi="Arial"/>
          <w:sz w:val="17"/>
          <w:szCs w:val="17"/>
          <w:b w:val="1"/>
          <w:bCs w:val="1"/>
          <w:color w:val="auto"/>
        </w:rPr>
        <w:t xml:space="preserve"> </w:t>
      </w:r>
      <w:r>
        <w:rPr>
          <w:rFonts w:ascii="Arial" w:cs="Arial" w:eastAsia="Arial" w:hAnsi="Arial"/>
          <w:sz w:val="17"/>
          <w:szCs w:val="17"/>
          <w:color w:val="auto"/>
        </w:rPr>
        <w:t>leading developer of amorphous alloys, announced today that it has finalized the additional closing pursuant to its previously disclosed Securities Purchase Agreement, dated March 10, 2016, with Liquidmetal Technology Limited (“Investor”), a Hong Kong company owned by Professor Lugee Li.</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additional closing, the Company issued and sold to Investor an aggregate of 300,000,000 shares of Company’s common stock for an aggregate purchase price of $55,000,000, comprised of 200,000,000 shares at $0.15 per share and 100,000,000 shares at $0.25 per share. As a result of the additional closing, Investor has completed its entire investment into the Company in the aggregate amount of $63.4 million as contemplated by the Securities Purchase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conjunction with the above, the Company appointed Professor Li as Chairman of the Board and added two new members to the Company’s Board of Directors, Mr. Isaac Bresnick and Mr. Vincent Carrubba. As a result of the foregoing appointments, Mr. Abdi Mahamedi resigned as Chairman and was appointed as Vice Chairman of the Board and Mr. Robert Howard-Anderson resigned from the Board of Directors.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Professor Li is also the Chairman and majority shareholder of EONTEC, a global manufacturing company headquartered in Hong Kong with manufacturing plants in China. It specializes in new material development, such as bulk metallic glasses and medical grade magnesium for implants. EONTEC possesses a full set of mass production capabilities for zirconium based amorphous alloys, including material refining, tooling, and machining, surface treatment, as well as equipment and machine building capabilities for making large parts out of bulk metallic glass.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investment in LQMT is complete and we can now fully incorporate EONTEC’s capabilities with LQMT’s focus on production of high-performance parts, allowing LQMT to address a broad range of market opportunities from automotive, medical and industrial customers. I am truly excited for the future and look forward to the possibilities,” said Professor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“Professor Li’s unique expertise in metallurgical and materials engineering and manufacturing is a substantial resource for the company’s Board of Directors and its vision and direction. Professor Li is exceptionally qualified to take on the role of Chairman and I look forward to supporting him and the Board for future success.” said Mr. Mahamedi.</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Mr. Steipp, Company’s CEO added; “The closing of the financing transaction and collaboration with EONTEC will provide us with the platform and resources necessary to establish Liquidmetal as a global force in the revolutionary amorphous alloy solutions and to fast-track the market development of its core technologies. EONTEC and Liquidmetal each bring significant capabilities to this partnership and we look forward to an exciting 2017 and beyond. ”</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please refer to our Form 8-K describing the transaction filed with the Securities and Exchange Commission on October 27, 2016.</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Liquidmetal Technologies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Liquidmetal Technologies, Inc. is the leading developer of amorphous alloys that utilize the performance advantages offered by amorphous alloy technology. Amorphous alloys are unique materials that are distinguished by their ability to retain a random structure when they solidify, in contrast to the crystalline atomic structure that forms in ordinary metals and alloys. Liquidmetal Technologies is the first company to produce amorphous alloys in commercially viable bulk form, enabling significant improvements in products across a wide array of industries. For more information, go to </w:t>
      </w:r>
      <w:r>
        <w:rPr>
          <w:rFonts w:ascii="Arial" w:cs="Arial" w:eastAsia="Arial" w:hAnsi="Arial"/>
          <w:sz w:val="16"/>
          <w:szCs w:val="16"/>
          <w:u w:val="single" w:color="auto"/>
          <w:color w:val="auto"/>
        </w:rPr>
        <w:t>www.liquidmetal.com</w:t>
      </w:r>
      <w:r>
        <w:rPr>
          <w:rFonts w:ascii="Arial" w:cs="Arial" w:eastAsia="Arial" w:hAnsi="Arial"/>
          <w:sz w:val="16"/>
          <w:szCs w:val="16"/>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contains "forward-looking statements," including but not limited to statements regarding the advantages of Liquidmetal's amorphous alloy technology, scheduled manufacturing of customer parts and other statements associated with Liquidmetal's technology and operations. These statements are based on current expectations of future events. If underlying assumptions prove inaccurate or unknown risks or uncertainties materialize, actual results could vary materially from Liquidmetal's expectations and projections. Risks and uncertainties include, among other things; customer adoption of Liquidmetal's technologies and successful integration of those technologies into customer products; potential difficulties or delays in manufacturing products incorporating Liquidmetal's technologies; Liquidmetal's ability to fund its current and anticipated operations; the ability of third party suppliers and manufacturers to meet customer product requirements; general industry conditions; general economic conditions; and governmental laws and regulations affecting Liquidmetal's operations. Additional information concerning these and other risk factors can be found in Liquidmetal's public periodic filings with the U.S. Securities and Exchange Commission, including the discussion under the heading "Risk Factors" in Liquidmetal's 2015 Annual Report on Form 10-K.</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2019-12-07T12:47:08Z</dcterms:created>
  <dcterms:modified xsi:type="dcterms:W3CDTF">2019-12-07T12:47:08Z</dcterms:modified>
</cp:coreProperties>
</file>