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820" w:right="1440" w:hanging="3812"/>
        <w:spacing w:after="0" w:line="500"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72" w:right="339" w:bottom="0" w:gutter="0" w:footer="0" w:header="0"/>
        </w:sectPr>
      </w:pPr>
    </w:p>
    <w:p>
      <w:pPr>
        <w:spacing w:after="0" w:line="237" w:lineRule="exact"/>
        <w:rPr>
          <w:sz w:val="24"/>
          <w:szCs w:val="24"/>
          <w:color w:val="auto"/>
        </w:rPr>
      </w:pPr>
    </w:p>
    <w:p>
      <w:pPr>
        <w:jc w:val="cente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001-31332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602615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LIQUIDMETAL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472" w:right="339" w:bottom="0" w:gutter="0" w:footer="0" w:header="0"/>
          <w:type w:val="continuous"/>
        </w:sectPr>
      </w:pPr>
    </w:p>
    <w:p>
      <w:pPr>
        <w:spacing w:after="0" w:line="20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33-0264467</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472"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20321 Valencia Circle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 Forest, CA 92630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72" w:right="339" w:bottom="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635-2100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602615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2660" w:space="720"/>
            <w:col w:w="2660" w:space="720"/>
            <w:col w:w="4480"/>
          </w:cols>
          <w:pgMar w:left="320" w:top="472" w:right="339" w:bottom="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660" w:space="720"/>
            <w:col w:w="7860"/>
          </w:cols>
          <w:pgMar w:left="320" w:top="472" w:right="339" w:bottom="0" w:gutter="0" w:footer="0" w:header="0"/>
          <w:type w:val="continuous"/>
        </w:sectPr>
      </w:pPr>
    </w:p>
    <w:p>
      <w:pPr>
        <w:spacing w:after="0" w:line="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common shares outstanding as of May 17, 2024 was 917,285,149.</w:t>
      </w:r>
    </w:p>
    <w:p>
      <w:pPr>
        <w:sectPr>
          <w:pgSz w:w="11900" w:h="16838" w:orient="portrait"/>
          <w:cols w:equalWidth="0" w:num="1">
            <w:col w:w="11240"/>
          </w:cols>
          <w:pgMar w:left="320" w:top="472"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LIQUIDMETAL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2023 entitled “Risk Factors,” as well as the following risks and uncertainties:</w:t>
      </w:r>
    </w:p>
    <w:p>
      <w:pPr>
        <w:spacing w:after="0" w:line="200" w:lineRule="exact"/>
        <w:rPr>
          <w:sz w:val="20"/>
          <w:szCs w:val="20"/>
          <w:color w:val="auto"/>
        </w:rPr>
      </w:pPr>
    </w:p>
    <w:p>
      <w:pPr>
        <w:spacing w:after="0" w:line="20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the uncertainty surrounding our ability to achieve or sustain profitability;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history of developing and selling products made from our bulk amorphous alloys;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having products manufactured from our alloys and the use of third parties for manufacturing;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history of licensing our technology to third parties;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customer adoption cycles and unpredictable customer adoption practices;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new product applications for our technology;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current suppliers of incumbent materials or producers of competing products;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consummate, and/or integrate strategic partnerships;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manufacturing problems or delays;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protecting or expanding our intellectual property position; and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other than as required by applicable law, to update publicly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696"/>
        </w:trPr>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1"/>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PART I </w:t>
            </w:r>
            <w:r>
              <w:rPr>
                <w:rFonts w:ascii="Times New Roman" w:cs="Times New Roman" w:eastAsia="Times New Roman" w:hAnsi="Times New Roman"/>
                <w:sz w:val="18"/>
                <w:szCs w:val="18"/>
                <w:color w:val="0000EE"/>
                <w:w w:val="98"/>
              </w:rPr>
              <w:t>–</w:t>
            </w:r>
            <w:r>
              <w:rPr>
                <w:rFonts w:ascii="Times New Roman" w:cs="Times New Roman" w:eastAsia="Times New Roman" w:hAnsi="Times New Roman"/>
                <w:sz w:val="18"/>
                <w:szCs w:val="18"/>
                <w:b w:val="1"/>
                <w:bCs w:val="1"/>
                <w:color w:val="0000EE"/>
                <w:w w:val="98"/>
              </w:rPr>
              <w:t xml:space="preserve"> Financial Information</w:t>
            </w:r>
          </w:p>
        </w:tc>
        <w:tc>
          <w:tcPr>
            <w:tcW w:w="4860" w:type="dxa"/>
            <w:vAlign w:val="bottom"/>
            <w:gridSpan w:val="10"/>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240" w:type="dxa"/>
            <w:vAlign w:val="bottom"/>
          </w:tcPr>
          <w:p>
            <w:pPr>
              <w:spacing w:after="0"/>
              <w:rPr>
                <w:sz w:val="24"/>
                <w:szCs w:val="24"/>
                <w:color w:val="auto"/>
              </w:rPr>
            </w:pPr>
          </w:p>
        </w:tc>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 – Financial Statements</w:t>
            </w:r>
          </w:p>
        </w:tc>
        <w:tc>
          <w:tcPr>
            <w:tcW w:w="366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0000EE"/>
                <w:w w:val="88"/>
              </w:rPr>
              <w:t>4</w:t>
            </w:r>
          </w:p>
        </w:tc>
        <w:tc>
          <w:tcPr>
            <w:tcW w:w="2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Consolidated Balance Sheets</w:t>
            </w:r>
          </w:p>
        </w:tc>
        <w:tc>
          <w:tcPr>
            <w:tcW w:w="3880" w:type="dxa"/>
            <w:vAlign w:val="bottom"/>
            <w:gridSpan w:val="7"/>
          </w:tcPr>
          <w:p>
            <w:pPr>
              <w:spacing w:after="0"/>
              <w:rPr>
                <w:sz w:val="17"/>
                <w:szCs w:val="17"/>
                <w:color w:val="auto"/>
              </w:rPr>
            </w:pP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 Consolidated Statements of Operations</w:t>
            </w: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 Consolidated Statements of Stockholders’ Equity</w:t>
            </w: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Consolidated Statements of Comprehensive Income (Loss)</w:t>
            </w:r>
          </w:p>
        </w:tc>
        <w:tc>
          <w:tcPr>
            <w:tcW w:w="1720" w:type="dxa"/>
            <w:vAlign w:val="bottom"/>
          </w:tcPr>
          <w:p>
            <w:pPr>
              <w:spacing w:after="0"/>
              <w:rPr>
                <w:sz w:val="17"/>
                <w:szCs w:val="17"/>
                <w:color w:val="auto"/>
              </w:rPr>
            </w:pP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Consolidated Statements of Cash Flows</w:t>
            </w:r>
          </w:p>
        </w:tc>
        <w:tc>
          <w:tcPr>
            <w:tcW w:w="1380" w:type="dxa"/>
            <w:vAlign w:val="bottom"/>
            <w:gridSpan w:val="4"/>
          </w:tcPr>
          <w:p>
            <w:pPr>
              <w:spacing w:after="0"/>
              <w:rPr>
                <w:sz w:val="17"/>
                <w:szCs w:val="17"/>
                <w:color w:val="auto"/>
              </w:rPr>
            </w:pPr>
          </w:p>
        </w:tc>
        <w:tc>
          <w:tcPr>
            <w:tcW w:w="1720" w:type="dxa"/>
            <w:vAlign w:val="bottom"/>
          </w:tcPr>
          <w:p>
            <w:pPr>
              <w:spacing w:after="0"/>
              <w:rPr>
                <w:sz w:val="17"/>
                <w:szCs w:val="17"/>
                <w:color w:val="auto"/>
              </w:rPr>
            </w:pP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2820" w:type="dxa"/>
            <w:vAlign w:val="bottom"/>
            <w:gridSpan w:val="4"/>
          </w:tcPr>
          <w:p>
            <w:pPr>
              <w:spacing w:after="0"/>
              <w:rPr>
                <w:sz w:val="17"/>
                <w:szCs w:val="17"/>
                <w:color w:val="auto"/>
              </w:rPr>
            </w:pPr>
          </w:p>
        </w:tc>
        <w:tc>
          <w:tcPr>
            <w:tcW w:w="3660" w:type="dxa"/>
            <w:vAlign w:val="bottom"/>
            <w:gridSpan w:val="2"/>
          </w:tcPr>
          <w:p>
            <w:pPr>
              <w:jc w:val="center"/>
              <w:ind w:left="349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2520" w:type="dxa"/>
            <w:vAlign w:val="bottom"/>
            <w:gridSpan w:val="7"/>
          </w:tcPr>
          <w:p>
            <w:pPr>
              <w:spacing w:after="0"/>
              <w:rPr>
                <w:sz w:val="24"/>
                <w:szCs w:val="24"/>
                <w:color w:val="auto"/>
              </w:rPr>
            </w:pPr>
          </w:p>
        </w:tc>
        <w:tc>
          <w:tcPr>
            <w:tcW w:w="2160" w:type="dxa"/>
            <w:vAlign w:val="bottom"/>
            <w:gridSpan w:val="2"/>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Other Information</w:t>
            </w: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6"/>
              </w:rPr>
              <w:t>Item 1 – Legal Proceedings</w:t>
            </w:r>
          </w:p>
        </w:tc>
        <w:tc>
          <w:tcPr>
            <w:tcW w:w="80" w:type="dxa"/>
            <w:vAlign w:val="bottom"/>
          </w:tcPr>
          <w:p>
            <w:pPr>
              <w:spacing w:after="0"/>
              <w:rPr>
                <w:sz w:val="24"/>
                <w:szCs w:val="24"/>
                <w:color w:val="auto"/>
              </w:rPr>
            </w:pPr>
          </w:p>
        </w:tc>
        <w:tc>
          <w:tcPr>
            <w:tcW w:w="5060" w:type="dxa"/>
            <w:vAlign w:val="bottom"/>
            <w:gridSpan w:val="12"/>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Item 1A – Risk Factors</w:t>
            </w:r>
          </w:p>
        </w:tc>
        <w:tc>
          <w:tcPr>
            <w:tcW w:w="280" w:type="dxa"/>
            <w:vAlign w:val="bottom"/>
          </w:tcPr>
          <w:p>
            <w:pPr>
              <w:spacing w:after="0"/>
              <w:rPr>
                <w:sz w:val="24"/>
                <w:szCs w:val="24"/>
                <w:color w:val="auto"/>
              </w:rPr>
            </w:pPr>
          </w:p>
        </w:tc>
        <w:tc>
          <w:tcPr>
            <w:tcW w:w="5140" w:type="dxa"/>
            <w:vAlign w:val="bottom"/>
            <w:gridSpan w:val="13"/>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49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3 – Defaults Upon Senior Securities</w:t>
            </w:r>
          </w:p>
        </w:tc>
        <w:tc>
          <w:tcPr>
            <w:tcW w:w="2160" w:type="dxa"/>
            <w:vAlign w:val="bottom"/>
            <w:gridSpan w:val="2"/>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Item 4 – Mine Safety Disclosures</w:t>
            </w:r>
          </w:p>
        </w:tc>
        <w:tc>
          <w:tcPr>
            <w:tcW w:w="540" w:type="dxa"/>
            <w:vAlign w:val="bottom"/>
          </w:tcPr>
          <w:p>
            <w:pPr>
              <w:spacing w:after="0"/>
              <w:rPr>
                <w:sz w:val="24"/>
                <w:szCs w:val="24"/>
                <w:color w:val="auto"/>
              </w:rPr>
            </w:pPr>
          </w:p>
        </w:tc>
        <w:tc>
          <w:tcPr>
            <w:tcW w:w="4140" w:type="dxa"/>
            <w:vAlign w:val="bottom"/>
            <w:gridSpan w:val="8"/>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Item 5 – Other Information</w:t>
            </w:r>
          </w:p>
        </w:tc>
        <w:tc>
          <w:tcPr>
            <w:tcW w:w="460" w:type="dxa"/>
            <w:vAlign w:val="bottom"/>
            <w:gridSpan w:val="4"/>
          </w:tcPr>
          <w:p>
            <w:pPr>
              <w:spacing w:after="0"/>
              <w:rPr>
                <w:sz w:val="24"/>
                <w:szCs w:val="24"/>
                <w:color w:val="auto"/>
              </w:rPr>
            </w:pPr>
          </w:p>
        </w:tc>
        <w:tc>
          <w:tcPr>
            <w:tcW w:w="4680" w:type="dxa"/>
            <w:vAlign w:val="bottom"/>
            <w:gridSpan w:val="9"/>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 – Exhibits</w:t>
            </w:r>
          </w:p>
        </w:tc>
        <w:tc>
          <w:tcPr>
            <w:tcW w:w="5140" w:type="dxa"/>
            <w:vAlign w:val="bottom"/>
            <w:gridSpan w:val="13"/>
          </w:tcPr>
          <w:p>
            <w:pPr>
              <w:spacing w:after="0"/>
              <w:rPr>
                <w:sz w:val="24"/>
                <w:szCs w:val="24"/>
                <w:color w:val="auto"/>
              </w:rPr>
            </w:pP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60" w:type="dxa"/>
            <w:vAlign w:val="bottom"/>
            <w:gridSpan w:val="15"/>
          </w:tcPr>
          <w:p>
            <w:pPr>
              <w:spacing w:after="0" w:line="20" w:lineRule="exact"/>
              <w:rPr>
                <w:sz w:val="1"/>
                <w:szCs w:val="1"/>
                <w:color w:val="auto"/>
              </w:rPr>
            </w:pPr>
          </w:p>
        </w:tc>
        <w:tc>
          <w:tcPr>
            <w:tcW w:w="3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90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453"/>
        </w:trPr>
        <w:tc>
          <w:tcPr>
            <w:tcW w:w="760" w:type="dxa"/>
            <w:vAlign w:val="bottom"/>
            <w:tcBorders>
              <w:top w:val="single" w:sz="8" w:color="0000EE"/>
            </w:tcBorders>
            <w:gridSpan w:val="3"/>
          </w:tcPr>
          <w:p>
            <w:pPr>
              <w:spacing w:after="0"/>
              <w:rPr>
                <w:sz w:val="24"/>
                <w:szCs w:val="24"/>
                <w:color w:val="auto"/>
              </w:rPr>
            </w:pPr>
          </w:p>
        </w:tc>
        <w:tc>
          <w:tcPr>
            <w:tcW w:w="6580" w:type="dxa"/>
            <w:vAlign w:val="bottom"/>
            <w:gridSpan w:val="17"/>
          </w:tcPr>
          <w:p>
            <w:pPr>
              <w:jc w:val="right"/>
              <w:ind w:right="1680"/>
              <w:spacing w:after="0"/>
              <w:rPr>
                <w:sz w:val="20"/>
                <w:szCs w:val="20"/>
                <w:color w:val="auto"/>
              </w:rPr>
            </w:pPr>
            <w:r>
              <w:rPr>
                <w:rFonts w:ascii="Times New Roman" w:cs="Times New Roman" w:eastAsia="Times New Roman" w:hAnsi="Times New Roman"/>
                <w:sz w:val="18"/>
                <w:szCs w:val="18"/>
                <w:color w:val="auto"/>
              </w:rPr>
              <w:t>3</w:t>
            </w:r>
          </w:p>
        </w:tc>
        <w:tc>
          <w:tcPr>
            <w:tcW w:w="3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par value and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8,837</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Investments in debt securities- short term</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13,292</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22,795</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debt securities- long term</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7,668</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31,836</w:t>
            </w:r>
          </w:p>
        </w:tc>
      </w:tr>
      <w:tr>
        <w:trPr>
          <w:trHeight w:val="196"/>
        </w:trPr>
        <w:tc>
          <w:tcPr>
            <w:tcW w:w="680" w:type="dxa"/>
            <w:vAlign w:val="bottom"/>
            <w:tcBorders>
              <w:top w:val="single" w:sz="8" w:color="CCEEFF"/>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4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r>
      <w:tr>
        <w:trPr>
          <w:trHeight w:val="209"/>
        </w:trPr>
        <w:tc>
          <w:tcPr>
            <w:tcW w:w="6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09"/>
        </w:trPr>
        <w:tc>
          <w:tcPr>
            <w:tcW w:w="6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1,100,000,000 shares authorized; 917,285,149 shares issued and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18,179</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288,126</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(276,743)</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680" w:type="dxa"/>
            <w:vAlign w:val="bottom"/>
          </w:tcPr>
          <w:p>
            <w:pPr>
              <w:spacing w:after="0"/>
              <w:rPr>
                <w:sz w:val="24"/>
                <w:szCs w:val="24"/>
                <w:color w:val="auto"/>
              </w:rPr>
            </w:pPr>
          </w:p>
        </w:tc>
        <w:tc>
          <w:tcPr>
            <w:tcW w:w="89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and royalties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income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Liquidmetal Technologies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common share basic and diluted: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common share attributable to Liquidmetal Technologies shareholders,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Net loss per common share attributable to Liquidmetal Technologies shareholders, diluted</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540" w:type="dxa"/>
            <w:vAlign w:val="bottom"/>
            <w:gridSpan w:val="2"/>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(0.00)</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Number of weighted average shares - basic</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917,285,149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917,285,149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Number of weighted average shares - diluted</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917,285,149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917,285,149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2"/>
                <w:szCs w:val="12"/>
                <w:color w:val="auto"/>
              </w:rPr>
            </w:pPr>
          </w:p>
        </w:tc>
        <w:tc>
          <w:tcPr>
            <w:tcW w:w="10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9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7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vMerge w:val="continue"/>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5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5"/>
                <w:szCs w:val="15"/>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5"/>
                <w:szCs w:val="15"/>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5"/>
                <w:szCs w:val="15"/>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917,285,149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917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18,179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288,126</w:t>
            </w:r>
          </w:p>
        </w:tc>
        <w:tc>
          <w:tcPr>
            <w:tcW w:w="2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(276,743)</w:t>
            </w:r>
          </w:p>
        </w:tc>
        <w:tc>
          <w:tcPr>
            <w:tcW w:w="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190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(79)</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30,590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2024</w:t>
            </w:r>
          </w:p>
        </w:tc>
        <w:tc>
          <w:tcPr>
            <w:tcW w:w="6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917,285,149</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917</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18,179</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288,151</w:t>
            </w:r>
          </w:p>
        </w:tc>
        <w:tc>
          <w:tcPr>
            <w:tcW w:w="2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(277,057)</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198</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(79)</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30,309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917,285,149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917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18,179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288,013</w:t>
            </w:r>
          </w:p>
        </w:tc>
        <w:tc>
          <w:tcPr>
            <w:tcW w:w="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(274,696)</w:t>
            </w:r>
          </w:p>
        </w:tc>
        <w:tc>
          <w:tcPr>
            <w:tcW w:w="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(296)</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32,039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8"/>
        </w:trPr>
        <w:tc>
          <w:tcPr>
            <w:tcW w:w="2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2023</w:t>
            </w: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917,285,149</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917</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18,179</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288,047</w:t>
            </w:r>
          </w:p>
        </w:tc>
        <w:tc>
          <w:tcPr>
            <w:tcW w:w="2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(275,283)</w:t>
            </w:r>
          </w:p>
        </w:tc>
        <w:tc>
          <w:tcPr>
            <w:tcW w:w="240" w:type="dxa"/>
            <w:vAlign w:val="bottom"/>
            <w:tcBorders>
              <w:bottom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(132)</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31,650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LIQUIDMETAL TECHNOLOGIES, INC. AND SUBSIDIARIES CONSOLIDATED STATEMENTS OF COMPREHENSIVE INCOME (LOSS) ($ in thousands, except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12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(587)</w:t>
            </w:r>
          </w:p>
        </w:tc>
      </w:tr>
      <w:tr>
        <w:trPr>
          <w:trHeight w:val="209"/>
        </w:trPr>
        <w:tc>
          <w:tcPr>
            <w:tcW w:w="80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available-for-sale securities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80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(423)</w:t>
            </w:r>
          </w:p>
        </w:tc>
      </w:t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Liquidmetal Technologies shareholders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(423)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0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Realized investment gains (loss),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investment gain (loss),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(394)</w:t>
            </w:r>
          </w:p>
        </w:tc>
      </w:tr>
      <w:tr>
        <w:trPr>
          <w:trHeight w:val="209"/>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debt securities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of debt securities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4,975</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9,403</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6,855</w:t>
            </w:r>
          </w:p>
        </w:tc>
      </w:tr>
      <w:tr>
        <w:trPr>
          <w:trHeight w:val="19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tcBorders>
              <w:bottom w:val="single" w:sz="8" w:color="auto"/>
            </w:tcBorders>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(numbers in thousands, except percentages,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Liquidmetal Technologies, Inc. (the “Company”) is a materials technology company that works with manufacturing and commercial partners to develop and commercialize products made from proprietary amorphous alloys. The Company’s family of alloys consists of a variety of bulk alloys and composites that utilize the advantages offered by amorphous alloys technology. The Company works with partners to design, develop, and sell products and custom parts from bulk amorphous alloys for sale in a wide range of industries. The Company also partners with third-party manufacturers and licensees to develop and commercialize Liquidmetal alloy products.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have to select specific alloys to achieve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possible or commercially viable with other materials.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bulk amorphous alloy technology is a relatively new technology as compared to many other material technologies, such as plastics and widely-used high-performance crystalline alloys. Historically, the successful commercialization of a new material technology has required the persistent improvement and refining of the technology over a sometimes lengthy period of time. Accordingly, the Company believes that its future success will be dependent on its ability to continue expanding and improving its technology platform by, among other things, constantly refining and improving its processes, optimizing its existing amorphous alloy compositions for various applications, and developing and improving new bulk amorphous alloy compositions.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revenues are derived from i) selling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and for the three months ended March 31, 2024 and 2023 have been prepared in accordance with accounting principles generally accepted in the United States of America (“US GAAP”) for interim financial information and in accordance with the instructions to Form 10-Q. Accordingly, they do not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three months ended March 31, 2024 are not necessarily indicative of the results that may be expected for any future periods or the year ending December 31, 2024. The accompanying unaudited consolidated financial statements should be read in conjunction with the Company's 2023 Annual Report on Form 10-K filed with the Securities and Exchange Commission (“SEC”) on March 12,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in Debt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three months ended March 31, 2024 and 2023.</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1 instruments within the fair value hierarchy.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spacing w:after="0" w:line="1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225" w:lineRule="exact"/>
        <w:rPr>
          <w:sz w:val="20"/>
          <w:szCs w:val="20"/>
          <w:color w:val="auto"/>
        </w:rPr>
      </w:pPr>
    </w:p>
    <w:p>
      <w:pPr>
        <w:jc w:val="both"/>
        <w:ind w:left="1360" w:hanging="1349"/>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following table represents the Company’s fair value hierarchy for items that are required to be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(short-term)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12,344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debt securities (long-term)</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following table represents the Company’s fair value hierarchy for items that are required to be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(short-term)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debt securities (long-term)</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leases its manufacturing facility under a long-term contract, which is accounted for as an operating lease. The lease provides for a fixed base rent and variable payments comprised of reimbursements for property taxes, insurance, utilities, and common area maintenance. The lease has a term of sixty-two months, exclusive of options to renew. In accordance with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lease income, which includes escalating rents over the term of the lease, is recorded on a straight-line basis over the expected lease term. The difference between lease income and payments received is recorded as a rent receivable, which is included as a prepaid expense in the consolidated balance sheets. Amounts paid for broker commissions represent prepaid direct lease costs and will be amortized as an off-set to lease income over the lease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Recent Pronouncements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SEC did not or are not believed by management to have a material impact on the Company's present or future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Transactions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Amorphology 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15, 2024, Liquidmetal Technologies, Inc. (the “Company”) entered into a First Amendment to License Agreement (the “First Amendment”) with Amorphology Inc. (“Amorphology”), which amended a License Agreement, dated November 22, 2019, previously entered into by the Company and Amorphology (the “Original License Agreement,” and together with the First Amendment, the “Amended License Agreement”). The Company has determined that, as a result of the First Amendment, the Amended License Agreement has become a material definitive agreement of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License Agreement grants Amorphology a non-exclusive royalty bearing license under all patents, patent applications, and technical information of the Company in existence as of the date of the First Amendment to make, use, offer to sell, sell, export, and import products utilizing Engel injection molding machines in a field of use consisting of the worldwide industry for amorphous metal parts and components, excluding consumer electronic products, jewelry, certain luxury products, and other product categories and territories that are subject to a license grant to third parties. The license bears a running royalty equal to a percentage of Amorphology’s sales of licensed products as well as for sales to customers referred to Amorphology by the Company. The Company may also utilize Amorphology as a third-party contract manufacturer. The Amended License Agreement is for a term of five (5) years, with automatic 1-year extensions unless terminated by either party upon at least 6 months notice prior to the expiration of the then-current term.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Yihao Manufacturing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the Company entered into a manufacturing agreement (“Manufacturing Agreement”) with Dongguan Yihao Metal Materials Technology Co. Ltd. (“Yihao”) to become the primary contract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Facility Purchase and Lease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16, 2017, the Company purchased a 41,000 square foot facility (the “Facility”) located in Lake Forest, CA, where operations commenced during July 2017. The purchase price for the Facility was $7,818.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23, 2020, 20321 Valencia, LLC, a Delaware limited liability company and wholly owned subsidiary of the Company, entered into a lease agreement (the “Facility Lease”) pursuant to which the Company leased to MatterHackers, Inc., a Delaware corporation (“Tenant”), an approximately 32,534 square foot portion of the Facility. The lease term is for 5 years and 2 months and is scheduled to expire on April 30, 2025. The base rent payable under the Facility Lease is $32,534 per month initially and is subject to periodic increases up to a maximum of approximately $54,000 per month. Tenant will pay approximately 79% of common operating expresses. The Facility Lease has other customary provisions, including provisions relating to default and usage restrictions. The Facility Lease grants to Tenant a right to extend the lease for one additional 60-month period at market rental value.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2016, the Company entered into a Securities Purchase Agreement (the “2016 Purchase Agreement”) with Liquidmetal Technology Limited, a Hong Kong company (the “Investor”), which is controlled by the Company’s Chairman, Professor Li. The 2016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the shares issuable under the 2016 Purchase Agreement, the Company issued to the Investor a warrant to acquire 10,066,809 shares of common stock (of which the right to exercise 2,609,913 of the warrant shares vested on March 10, 2016 and the right to exercise the remaining 7,456,896 warrant shares vested on October 26, 2016 at an exercise price of $0.07 per share). The warrant will expire on the tenth anniversary of its issuance date.</w:t>
      </w: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Purchase Agreement also provided that, with certain limited exceptions, if the Company issues any shares of common stock at any time through the fifth anniversary of the 2016 Purchase Agreement, the Investor will have a preemptive right to subscribe for and to purchase at the same price per share (or at market price, in the case of issuance of shares pursuant to stock options) the number of shares necessary to maintain its ownership percentage of Company-issued shares of common stock.</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Eontec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2016, in connection with the 2016 Purchase Agreement, the Company and DongGuan Eontec Co., Ltd., a Hong Kong corporation (“Eontec”), entered into a Parallel License Agreement (the “License Agreement”) pursuant to which the Company and Eontec agreed to cross-license their respective technologies. The Company’s Chairman, Professor Li, is also the Chairman of Eontec.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Eutectix Business Development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the Company entered into a Business Development Agreement (the “Agreement”) with Eutectix, LLC, a Delaware limited liability company (“Eutectix”), which provides for collaboration, joint development efforts, and the manufacturing of products based on the Company’s proprietary amorphous metal alloys. Under the Agreement, the Company licensed to Eutectix specified equipment owned by the Company, including two injection molding machines, two diecasting machines, and other machines and equipment, all of which will be used to make product for Company customers and Eutectix customers. The licensed machines and equipment represented substantially all of the machinery and equipment then held by the Company. The Company has also licensed to Eutectix various patents and technical information related to the Company’s proprietary technology. Under the Agreement, Eutectix agreed to pay the Company a royalty of six percent (6%) of the net sales price of licensed products sold by Eutectix, and Eutectix will also manufacture for the Company product ordered by the Company. The Agreement has a term of five years, subject to renewal provisions and the ability of either party to terminate earlier upon specified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Apple License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2010, the Company entered into a license transaction with Apple Inc. (“Apple”) pursuant to which (i) the Company contributed substantially all of its intellectual property assets to a newly organized special-purpose, wholly-owned subsidiary, called Crucible Intellectual Property, LLC (“CIP”),</w:t>
      </w:r>
    </w:p>
    <w:p>
      <w:pPr>
        <w:jc w:val="both"/>
        <w:ind w:firstLine="8"/>
        <w:spacing w:after="0" w:line="255" w:lineRule="auto"/>
        <w:tabs>
          <w:tab w:leader="none" w:pos="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CIP granted to Apple a perpetual, worldwide, exclusive license to commercialize such intellectual property in the field of consumer electronic products, as defined in the license agreement, in exchange for a one-time, upfront license fee, and (iii) CIP granted back to the Company a perpetual, worldwide, fully-paid, exclusive license to commercialize such intellectual property in all other fields of use.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agreements relating to the license transaction with Apple, the Company was obligated to contribute, to CIP, all intellectual property developed through February 2016. The Company is also obligated to maintain certain limited liability company formalities with respect to CIP at all times after the closing of the license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Liquidmetal Golf Sublicense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January 1, 2002 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Liquidmetal Golf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the Company’s amorphous alloy technology and related trademarks to manufacture and sell golf clubs and golf related products. The LMG Sublicense Agreement has a term of three years and provides for the payment of a running royalty to LMG of 3% of the net sales price of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Swatch Group License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2009, the Company entered into a license agreement with Swatch Group, Ltd. (“Swatch”) under which Swatch was granted a non-exclusive license to the Company’s technology to produce and market watches and certain other luxury products. In March 2011, this license agreement was amended to grant Swatch exclusive rights as to watches as against all third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amortized cost fair value, and unrealized gains (losses) of investments in debt securities (short-term and long-term):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Longest</w:t>
            </w: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5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these investments totaled $243 and $100 during the three months ended March, 2024 and 2023, respectively. Such amounts are included as a portion of interest and investment income on the Company’s consolidated statements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Company’s review of its debt securities that are individually in an unrealized loss position at March 31, 2024, 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March 31, 2024, all investments are current on their scheduled interest and dividend payments. The Company does not intend to sell and it is not likely that the Company will be required to sell these securities prior to recovering their amortized cost. As such, the Company does not consider these securities to be other-than-temporarily impaired as of March 31, 2024.</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Trade Accounts Receivable</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were comprised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Prepaid service invoices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7722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Prepaid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Prepaid lease costs and receivables- short term</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2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40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000" w:space="720"/>
            <w:col w:w="3520"/>
          </w:cols>
          <w:pgMar w:left="320" w:top="121" w:right="3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2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656"/>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furnishings, and improvements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(3,569)</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three months ended March 31, 2024 and 2023 were $78 and $78, respectively. Such amounts were included in selling, marketing, general, and administrative expenses within Company’s consolidated statements of operations.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Patents and Trademarks,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and licensed patent rights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patents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(2,348)</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no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capitalized patents and trademarks over an average of 10-to-17-year periods. Amortization expense for patents and trademarks was $4 and $6 for the three months ended March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2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10. Other Assets</w:t>
            </w:r>
          </w:p>
        </w:tc>
        <w:tc>
          <w:tcPr>
            <w:tcW w:w="6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were comprised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deposits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lease costs and receivables- long term</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656"/>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were comprised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vacation, and bonuses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long-term liabilities was $902 as of March 31, 2024 and December 31, 2023, and consisted of $859 of long-term, aged payables to vendors, individuals, and other third parties that have been outstanding for more than 5 years. Also included in the balance is $43 in tenant deposits under the Facility Lease.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28, 2012, the Company adopted the 2012 Equity Incentive Plan (“2012 Plan”), with the approval of the shareholders, which provided for the grant of stock options to officers, employees, consultants and directors of the Company and its subsidiaries. The 2012 Plan provides for the granting to employees of incentive stock options within the meaning of Section 422 of the Internal Revenue Code of 1986, as amended, and for the granting to employees and consultants of non-statutory stock options. In addition, the Plan permits the granting of stock appreciation rights, or SARs, with or independently of options, as well as stock bonuses and rights to purchase restricted stock. A total of 30,000,000 shares of the Company’s common stock may be granted under the 2012 Equity Incentive Plan, and all options granted under this plan had exercise prices that were equal to the fair market value on the date of grant. On December 16, 2021, the Company granted option grants under the Company’s 2012 Equity Incentive Plan, as approved to by the Board, for employees up to 1,400,000 shares of the Company’s common stock in total. Under this plan, the Company had outstanding grants of options to purchase 3,073,000 and 2,993,000 shares of the Company’s common stock as of March 31, 2024 and December 31, 2023, respectively.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2015, the Company adopted its 2015 Equity Incentive Plan (“2015 Plan”), which provided for the grant of stock options to officers, employees, consultants and directors of the Company and its subsidiaries. A total of 40,000,000 shares of the Company’s common stock are available for issuance under the 2015 Plan. All options granted under the 2015 Plan had exercise prices that were equal to the fair market value on the dates of grant. Under the 2015 Plan, the Company granted options on July 7, 2021 to purchase 7,500,000 shares of Company common stock to Mr. Chung, options on December 16, 2021 to purchase 600,000 shares of Company’s common stock to directors, and options on March 12, 2024 to purchase 9,250,000 shares of Company’s common stock to employees and director.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718, Compensation – Stock Compensation, requires all share-based payments to employees, including grants of employee stock options, to be recognized in the financial statements based on their fair values. Under ASC 718,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based compensation expense attributable to these plans was $25 and $34 for the three months ended March 31, 2024 and 2023,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five-year period. The risk-free rate used for the period within the expected life of the options is based on U.S. Treasury rates in effect at the time of grant.</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Facility Lease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rents due to the Company under the Facility Lease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480" w:type="dxa"/>
            <w:vAlign w:val="bottom"/>
            <w:gridSpan w:val="3"/>
          </w:tcPr>
          <w:p>
            <w:pPr>
              <w:jc w:val="right"/>
              <w:ind w:right="49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Base Rents</w:t>
            </w:r>
          </w:p>
        </w:tc>
        <w:tc>
          <w:tcPr>
            <w:tcW w:w="0" w:type="dxa"/>
            <w:vAlign w:val="bottom"/>
          </w:tcPr>
          <w:p>
            <w:pPr>
              <w:spacing w:after="0"/>
              <w:rPr>
                <w:sz w:val="1"/>
                <w:szCs w:val="1"/>
                <w:color w:val="auto"/>
              </w:rPr>
            </w:pPr>
          </w:p>
        </w:tc>
      </w:tr>
      <w:tr>
        <w:trPr>
          <w:trHeight w:val="209"/>
        </w:trPr>
        <w:tc>
          <w:tcPr>
            <w:tcW w:w="3400" w:type="dxa"/>
            <w:vAlign w:val="bottom"/>
            <w:tcBorders>
              <w:top w:val="single" w:sz="8" w:color="auto"/>
            </w:tcBorders>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6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6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160" w:type="dxa"/>
            <w:vAlign w:val="bottom"/>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6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Loss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26,584,667 shares of common stock at prices ranging from $0.05 to $0.38 per share were outstanding at March 31, 2024, but were not included in the computation of diluted EPS for the same period as the inclusion would have been antidilutive, given the Company’s net loss. Options to purchase 26,595,667 shares of common stock at prices ranging from $0.07 to $0.38 per share were outstanding as of March 31, 2023, but were not included in the computation of diluted EPS for the same period as the inclusion would have been antidilutive, given the Company’s net loss.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to purchase 10,066,809 shares of common stock, priced at $0.07 per share, outstanding at each of March 31, 2024 and March 31, 2023 were not included in the computation of diluted EPS for the same period as the inclusion would have been antidilutive, given the Company’s net loss.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2016, the Company entered into the 2016 Purchase Agreement with Liquidmetal Technology Limited, providing for the purchase of 405,000,000 shares of the Company’s common stock for an aggregate purchase price of $63,400. Liquidmetal Technology Limited was a newly formed company owned by Professor Li. In connection with the 2016 Purchase Agreement and also on March 10, 2016, the Company and Eontec entered into a license agreement pursuant to which the Company and Eontec entered into a cross-license of their respective technologies. Eontec is a publicly held Hong Kong corporation of which Professor Li is the Chairman. Eontec is also an affiliate of Yihao. Yihao is currently the Company’s primary contract manufacturer. As of March 31, 2024 and December 31, 2023, Professor Li is a greater-than 5% beneficial owner of the Company and serves as the Company’s Chairman. Equipment and services procured from Eontec, and their affiliates, were $115 and $301 during the three months ended March 31, 2024 and 2023, respectively. As of March 31, 2024 and December 31, 2023, the Company has outstanding payables to Eontec, and their affiliates of $0 and $30, respectively.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10, 2022, Mr. Abdi Mahamedi resigned as a director of the Company. In connection with Mr. Mahamedi’s resignation, the Board of Directors of the Company approved an amendment to Mr. Mahamedi’s previously granted options to purchase an aggregate of 1,870,000 shares of Company common stock to provide for the extension of the exercise period of the options through May 10, 2025. Upon Mr. Mahamedi’s resignation as a director, the Company entered into a Consulting Agreement, dated May 10, 2022, with Rosewood LLC pursuant to which Mr. Mahamedi as the owner of Rosewood LLC will assess and present business opportunities for the licensing and sublicensing of the Company’s technology. Mr. Mahamedi will also provide business development services and perform other special projects as requested by the Company. The Consulting Agreement has a term of 5 years, subject to the right of the Company or Mr. Mahamedi to terminate the agreement at any time after December 1, 2022 and subject to certain other early-termination rights. As sole consideration for the Consulting Agreement, the Company granted to Mr. Mahamedi an option to purchase up to 2.0 million shares of Company common stock at an exercise price of the closing market price of the Company’s common stock on May 10, 2022 that will vest 33% on the first anniversary of the grant date and the remainder vesting monthly over the ensuing two years, provided that Mr. Mahamedi continues to be engaged as a consultant on each such vesting date. The options have a term of 5 years.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Topic </w:t>
      </w:r>
      <w:r>
        <w:rPr>
          <w:rFonts w:ascii="Times New Roman" w:cs="Times New Roman" w:eastAsia="Times New Roman" w:hAnsi="Times New Roman"/>
          <w:sz w:val="18"/>
          <w:szCs w:val="18"/>
          <w:i w:val="1"/>
          <w:iCs w:val="1"/>
          <w:color w:val="auto"/>
        </w:rPr>
        <w:t>855,</w:t>
      </w:r>
      <w:r>
        <w:rPr>
          <w:rFonts w:ascii="Times New Roman" w:cs="Times New Roman" w:eastAsia="Times New Roman" w:hAnsi="Times New Roman"/>
          <w:sz w:val="18"/>
          <w:szCs w:val="18"/>
          <w:color w:val="auto"/>
        </w:rPr>
        <w:t xml:space="preserve"> Subsequent Events (“ASC </w:t>
      </w:r>
      <w:r>
        <w:rPr>
          <w:rFonts w:ascii="Times New Roman" w:cs="Times New Roman" w:eastAsia="Times New Roman" w:hAnsi="Times New Roman"/>
          <w:sz w:val="18"/>
          <w:szCs w:val="18"/>
          <w:i w:val="1"/>
          <w:iCs w:val="1"/>
          <w:color w:val="auto"/>
        </w:rPr>
        <w:t>855</w:t>
      </w:r>
      <w:r>
        <w:rPr>
          <w:rFonts w:ascii="Times New Roman" w:cs="Times New Roman" w:eastAsia="Times New Roman" w:hAnsi="Times New Roman"/>
          <w:sz w:val="18"/>
          <w:szCs w:val="18"/>
          <w:color w:val="auto"/>
        </w:rPr>
        <w:t xml:space="preserve">”), which provides guidance to establish general standards of accounting for and disclosures of events that occur after the balance sheet date but before the consolidated financial statements are issued or are available to be issued. ASC </w:t>
      </w:r>
      <w:r>
        <w:rPr>
          <w:rFonts w:ascii="Times New Roman" w:cs="Times New Roman" w:eastAsia="Times New Roman" w:hAnsi="Times New Roman"/>
          <w:sz w:val="18"/>
          <w:szCs w:val="18"/>
          <w:i w:val="1"/>
          <w:iCs w:val="1"/>
          <w:color w:val="auto"/>
        </w:rPr>
        <w:t>855</w:t>
      </w:r>
      <w:r>
        <w:rPr>
          <w:rFonts w:ascii="Times New Roman" w:cs="Times New Roman" w:eastAsia="Times New Roman" w:hAnsi="Times New Roman"/>
          <w:sz w:val="18"/>
          <w:szCs w:val="18"/>
          <w:color w:val="auto"/>
        </w:rPr>
        <w:t xml:space="preserve"> sets forth (i) the period after the balance sheet date during which management of a reporting entity evaluates events or transactions that </w:t>
      </w:r>
      <w:r>
        <w:rPr>
          <w:rFonts w:ascii="Times New Roman" w:cs="Times New Roman" w:eastAsia="Times New Roman" w:hAnsi="Times New Roman"/>
          <w:sz w:val="18"/>
          <w:szCs w:val="18"/>
          <w:i w:val="1"/>
          <w:iCs w:val="1"/>
          <w:color w:val="auto"/>
        </w:rPr>
        <w:t xml:space="preserve">may </w:t>
      </w:r>
      <w:r>
        <w:rPr>
          <w:rFonts w:ascii="Times New Roman" w:cs="Times New Roman" w:eastAsia="Times New Roman" w:hAnsi="Times New Roman"/>
          <w:sz w:val="18"/>
          <w:szCs w:val="18"/>
          <w:color w:val="auto"/>
        </w:rPr>
        <w:t>occur for potential recognition or disclosure in the consolidated financial statements, (ii) the circumstances under which an entity should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events or transactions occurring after the balance sheet date in its consolidated financial statements, and (iii) the disclosures that an entity should make about events or transactions that occurred after the balance sheet date. Accordingly, the Company did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have any subsequent events that require disclosure.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should be read in conjunction with the consolidated financial statements and notes included elsewhere in this Quarterly Report on Form 10-Q. All amounts described in this section are in thousands, except percentages, periods of time, and share and per share data.</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as well as other sections of this Quarterly Report on Form 10-Q, may contain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words or expressions identify forward-looking statements. These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December 31, 2023 and other risks and uncertainties discussed in other filings made with the Securities and Exchange Commission (including risks described in subsequent reports on Form 10-Q and Form 8-K and other filings). We disclaim any intention or obligation, other than as required by applicable law,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materials technology company that works with manufacturing and commercial partners to develop and commercialize products made from our proprietary amorphous alloys. Our Liquidmetal® family of alloys consists of a variety of proprietary bulk alloys and composites that utilize the advantages offered by amorphous alloy technology. We work with partners to design, develop, and sell custom products and parts from bulk amorphous alloys for sale in various industries. We also partner with third-party manufacturers and licensees to develop and commercialize Liquidmetal alloy products.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bulk amorphous alloy technology is a relatively new technology as compared to many other material technologies, such as plastics and widely-used high-performance crystalline alloys. Historically, the successful commercialization of a new material technology has required the persistent improvement and refining of the technology over a sometimes lengthy period of time. Accordingly, we believe that our Company’s future success will be dependent on our ability to continue expanding and improving our technology platform by, among other things, constantly refining and improving our processes, optimizing our existing amorphous alloy compositions for various applications, and developing and improving new bulk amorphous alloy compositions.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Amorphology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Liquidmetal Technologies, Inc. (the “Company”) entered into a First Amendment to License Agreement (the “First Amendment”) with Amorphology Inc. (“Amorphology”), which amended a License Agreement, dated November 22, 2019, previously entered into by the Company and Amorphology (the “Original License Agreement,” and together with the First Amendment, the “Amended License Agreement”). The Company has determined that, as a result of the First Amendment, the Amended License Agreement has become a material definitive agreement of the Company. The following is a description of the material terms and conditions of the Amended License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License Agreement grants Amorphology a non-exclusive royalty bearing license under all patents, patent applications, and technical information of the Company in existence as of the date of the First Amendment to make, use, offer to sell, sell, export, and import products utilizing Engel injection molding machines in a field of use consisting of the worldwide industry for amorphous metal parts and components, excluding consumer electronic products, jewelry, certain luxury products, and other product categories and territories that are subject to a license grant to third parties. The license bears a running royalty equal to a percentage of Amorphology’s sales of licensed products as well as for sales to customers referred to Amorphology by the Company. The Company may also utilize Amorphology as a third-party contract manufacturer. The Amended License Agreement is for a term of five (5) years, with automatic 1-year extensions unless terminated by either party upon at least 6 months notice prior to the expiration of the then-current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Yihao Manufacturing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Liquidmetal Technologies entered into a manufacturing agreement (“Manufacturing Agreement”) with Dongguan Yihao Metal Materials Technology Co. Ltd. (“Yihao”) to become the primary outsourced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Liquidmetal Golf License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our Liquidmetal Golf subsidiary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the Company’s amorphous alloy technology and related trademarks to manufacture and sell golf clubs and golf related products. The LMG Sublicense Agreement has a term of three years and provides for the payment of a running royalty to LMG of 3% of the net sales price of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Facility Purchase and Lease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2017, we purchased a 41,000 square foot facility (the “Facility”) located in Lake Forest, CA, where operations commenced during July 2017. The purchase price for the Facility was $7,818.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23, 2020, 20321 Valencia, LLC, a Delaware limited liability company and our wholly owned subsidiary, entered into a lease agreement (the “Facility Lease”) pursuant to which we leased to MatterHackers, Inc., a Delaware corporation (“Tenant”), an approximately 32,534 square foot portion of the Facility. The lease term is for 5 years and 2 months and is scheduled to expire on April 30, 2025. The base rent payable under the Facility Lease is $32,534 per month initially and is subject to periodic increases up to a maximum of approximately $54,000 per month. Tenant will pay approximately 79% of common operating expresses. The Facility Lease has other customary provisions, including provisions relating to default and usage restrictions. The Facility Lease grants to Tenant a right to extend the lease for one additional 60-month period at market rental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shares issuable under the 2016 Purchase Agreement, we issued to the Investor a warrant to acquire 10,066,809 shares of common stock (of which the right to exercise 2,609,913 of the warrant shares vested on March 10, 2016 and the right to exercise the remaining 7,456,896 warrant shares vested on October 26, 2016, all at an exercise price of $0.07 per share). The warrant will expire on the tenth anniversary of its issuance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Purchase Agreement also provided that, with certain limited exceptions, if we issue any shares of common stock at any time through the fifth anniversary of the 2016 Purchase Agreement, the Investor will have a preemptive right to subscribe for and to purchase at the same price per share (or at market price, in the case of issuance of shares pursuant to stock options) the number of shares necessary to maintain its ownership percentage of our issued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Eontec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2016, in connection with the 2016 Purchase Agreement, we entered into a Parallel License Agreement (the “License Agreement”) with DongGuan Eontec Co., Ltd., a Hong Kong corporation (“Eontec”) pursuant to which we each entered into a cross-license of our respective technologies. Our Chairman, Professor Li, is also the Chairman of Eontec.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Eutectix Business Development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the Company entered into a Business Development Agreement (the “Agreement”) with Eutectix LLC, a Delaware limited liability company (“Eutectix”), which provides for collaboration, joint development efforts, and the manufacturing of products based on the Company’s proprietary amorphous metal alloys. Under the Agreement, the Company has licensed to Eutectix specified equipment owned by the Company, including two injection molding machines, two diecasting machines, and other machines and equipment, all of which will be used to make product for Company customers and Eutectix customers. The licensed machines and equipment represent substantially all of the machinery and equipment then held by the Company. The Company has also licensed to Eutectix various patents and technical information related to the Company’s proprietary technology. Under the Agreement, Eutectix will pay the Company a royalty of six percent (6%) of the net sales price of licensed products sold by Eutectix, and Eutectix will also manufacture for the Company product ordered by the Company. The Agreement has a term of five years, subject to renewal provisions and the ability of either party to terminate earlier upon specified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Apple License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agreements relating to the license transaction with Apple, we were obligated to contribute to CIP all intellectual property that we developed through February 2016. We are also obligated to maintain certain limited liability company formalities with respect to CIP at all times after the closing of the license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Swatch Group License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 licensed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definite-lived intangibles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2023 (the “2023 Annual Report”) contains further discussions on our critical accounting policies and estimates.</w:t>
      </w:r>
    </w:p>
    <w:p>
      <w:pPr>
        <w:sectPr>
          <w:pgSz w:w="11900" w:h="16838" w:orient="portrait"/>
          <w:cols w:equalWidth="0" w:num="1">
            <w:col w:w="11240"/>
          </w:cols>
          <w:pgMar w:left="320" w:top="121" w:right="33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three months ended March 31, 2024 and 2023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Changes</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and royalties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8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441.0%</w:t>
            </w:r>
          </w:p>
        </w:tc>
        <w:tc>
          <w:tcPr>
            <w:tcW w:w="26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2686.7%</w:t>
            </w:r>
          </w:p>
        </w:tc>
        <w:tc>
          <w:tcPr>
            <w:tcW w:w="3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2706.7%</w:t>
            </w:r>
          </w:p>
        </w:tc>
        <w:tc>
          <w:tcPr>
            <w:tcW w:w="3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-420.8%</w:t>
            </w:r>
          </w:p>
        </w:tc>
        <w:tc>
          <w:tcPr>
            <w:tcW w:w="26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-2683.3%</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income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w:t>
            </w:r>
          </w:p>
        </w:tc>
        <w:tc>
          <w:tcPr>
            <w:tcW w:w="30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726.7%</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Liquidmetal Technologies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 Total revenue increased by $143 to $173 for the three months ended March 31, 2024 from $30 for the three months ended March 31,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attributable to increase in product shipments primarily related to the launch of health monitoring rings utilizing our technology.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was $134, or 77.5% of total revenue, for the three months ended March 31, 2024, as compared to $23, or 76.7% of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for the three months ended March 31, 2023. The increase in our cost of sales was primarily driven by lower product revenues during Q1 2023 compared to Q1 2024. Once we are able to sustain and increase shipments of routine, commercial products and parts through our contract manufacturers, we expect our cost of sales percentages to decrease, stabilize, and be more predictable.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Our gross profit increased by $32 from $7 for the three months ended March 31, 2023 to $39 for the three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gross margin percentage decreased slightly from Q1 2023 to Q1 2024.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marketing, general, and administrative expenses </w:t>
      </w:r>
      <w:r>
        <w:rPr>
          <w:rFonts w:ascii="Times New Roman" w:cs="Times New Roman" w:eastAsia="Times New Roman" w:hAnsi="Times New Roman"/>
          <w:sz w:val="18"/>
          <w:szCs w:val="18"/>
          <w:color w:val="auto"/>
        </w:rPr>
        <w:t>– Selling, marketing, general, and administrative expenses decreased by $43 to $763, or 441.0%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for the three months ended March 31, 2024 from $806, or 2686.7% of revenue, for the three months ended March 31, 2023. The decrease in expenses was primarily attributable to decrease in trade show and investment relations expenses in Q1 2024 compared to Q1 2023.</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 Research and development expenses decreased by $2 to $4, or 2.3% of revenue, for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from $6, or 20.0% of revenue, for the three months ended March 31, 2023. The decrease in expense was mainly due to reductions in employee compensation and associated development initiatives from headcount reductions. Going forward, we will continue to perform research and development of new Liquidmetal alloys and related processing capabilities, albeit on a reduced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Investment Income </w:t>
      </w:r>
      <w:r>
        <w:rPr>
          <w:rFonts w:ascii="Times New Roman" w:cs="Times New Roman" w:eastAsia="Times New Roman" w:hAnsi="Times New Roman"/>
          <w:sz w:val="18"/>
          <w:szCs w:val="18"/>
          <w:color w:val="auto"/>
        </w:rPr>
        <w:t>– Interest and investment income relates to interest earned from our cash deposits and investments in debt securities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periods. Interest and investment income was $243 and $100 for the three months ended March 31, 2024 and 2023, respectively. The increase was primarily due to higher overall yields on debt securities as a result of an increase in overall interest rate increases by the government in Q1 2024 compared to Q1 2023.</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income </w:t>
      </w:r>
      <w:r>
        <w:rPr>
          <w:rFonts w:ascii="Times New Roman" w:cs="Times New Roman" w:eastAsia="Times New Roman" w:hAnsi="Times New Roman"/>
          <w:sz w:val="18"/>
          <w:szCs w:val="18"/>
          <w:color w:val="auto"/>
        </w:rPr>
        <w:t>– Lease income relates to straight-line rental income received under the Facility Lease. Such amounts were $171 and $118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totaled $342 and $394 for the three months ended March 31, 2024 and 2023, respectively. The cash was primarily used to fund operating expenses related to our business and product development efforts.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totaled $903 and $4,975 for the three months ended March 31, 2024 and 2023, respectively. Investing inflows primarily consist of proceeds from the sale of debt securities. Investing outflows primarily consist of purchases of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arrangements and outlook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as of March 31, 2024, we had $9,403 in cash and restricted cash, as well as $13,685 in investments in debt securities. We view this total of $23,088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March 31, 2024. Based on their evaluation, our Chief Executive Officer has concluded that our disclosure controls and procedures were effective as of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or 15d-15(f) under the Exchange Act) during the quarter ended March 31,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risk factors that should be understood by any investor contemplating an investment in our stock, please refer to Part I, Item 1A “Risk Factors” in the 2023 Annual Report. There have been no material changes from the risk factors previously disclosed in Part I, Item 1A “Risk Factors” in the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covered by this Quarterly Report on Form 10-Q, we did not issue or sell any unregistered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5715</wp:posOffset>
            </wp:positionV>
            <wp:extent cx="6694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Change of Control Agreement – Tony Chung</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Change of Control Agreement - Isaac Bresnick</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 and Principal Financial Officer, Tony Chung, as required by Section 302 of the Sarbanes-Oxley Act of</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jc w:val="both"/>
        <w:ind w:left="700" w:hanging="687"/>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and Principal Financial Officer, Tony Chung, pursuant to 18 U.S.C. Section 1350, as adopted pursuant to Section 906 of the Sarbanes-Oxley Act of 2002.</w:t>
      </w:r>
    </w:p>
    <w:p>
      <w:pPr>
        <w:spacing w:after="0" w:line="162" w:lineRule="exact"/>
        <w:rPr>
          <w:sz w:val="20"/>
          <w:szCs w:val="20"/>
          <w:color w:val="auto"/>
        </w:rPr>
      </w:pPr>
    </w:p>
    <w:p>
      <w:pPr>
        <w:jc w:val="both"/>
        <w:ind w:left="700" w:hanging="687"/>
        <w:spacing w:after="0" w:line="256" w:lineRule="auto"/>
        <w:tabs>
          <w:tab w:leader="none" w:pos="680" w:val="left"/>
        </w:tabs>
        <w:rPr>
          <w:sz w:val="20"/>
          <w:szCs w:val="20"/>
          <w:color w:val="auto"/>
        </w:rPr>
      </w:pPr>
      <w:r>
        <w:rPr>
          <w:rFonts w:ascii="Times New Roman" w:cs="Times New Roman" w:eastAsia="Times New Roman" w:hAnsi="Times New Roman"/>
          <w:sz w:val="18"/>
          <w:szCs w:val="18"/>
          <w:color w:val="auto"/>
        </w:rPr>
        <w:t>101.1</w:t>
        <w:tab/>
        <w:t>The following financial statements from Liquidmetal Technologies, Inc.’s Quarterly Report on Form 10-Q for the quarter ended March 31, 2024 (unaudited), formatted in Inline XBRL: (i) Consolidated Balance Sheets as of March 31, 2024 and December 31, 2023, (ii) Consolidated Statements of Operations for the three months ended March 31, 2024 and 2023, (iii) Consolidated Statements of Stockholders’ Equity for the three months ended March 31, 2024 and 2023, (iv) Consolidated Statements of Comprehensive Loss for the three months ended March 31, 2024 and 2023, (v) Consolidated Statements of Cash Flows for the three months ended March 31, 2024 and 2023, and (vi) Notes to Consolidated Financial Statements.</w:t>
      </w:r>
    </w:p>
    <w:p>
      <w:pPr>
        <w:spacing w:after="0" w:line="187" w:lineRule="exact"/>
        <w:rPr>
          <w:sz w:val="20"/>
          <w:szCs w:val="20"/>
          <w:color w:val="auto"/>
        </w:rPr>
      </w:pPr>
    </w:p>
    <w:p>
      <w:pPr>
        <w:ind w:left="5540" w:right="3960" w:hanging="5532"/>
        <w:spacing w:after="0" w:line="532" w:lineRule="auto"/>
        <w:tabs>
          <w:tab w:leader="none" w:pos="7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LIQUIDMETAL TECHNOLOGIES, INC.</w:t>
            </w:r>
          </w:p>
        </w:tc>
      </w:tr>
      <w:tr>
        <w:trPr>
          <w:trHeight w:val="234"/>
        </w:trPr>
        <w:tc>
          <w:tcPr>
            <w:tcW w:w="3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21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Chung</w:t>
            </w:r>
          </w:p>
        </w:tc>
      </w:tr>
      <w:tr>
        <w:trPr>
          <w:trHeight w:val="191"/>
        </w:trPr>
        <w:tc>
          <w:tcPr>
            <w:tcW w:w="3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Tony Chung</w:t>
            </w:r>
          </w:p>
        </w:tc>
      </w:tr>
      <w:tr>
        <w:trPr>
          <w:trHeight w:val="216"/>
        </w:trPr>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w:t>
            </w:r>
          </w:p>
        </w:tc>
      </w:tr>
      <w:tr>
        <w:trPr>
          <w:trHeight w:val="234"/>
        </w:trPr>
        <w:tc>
          <w:tcPr>
            <w:tcW w:w="3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432"/>
        </w:trPr>
        <w:tc>
          <w:tcPr>
            <w:tcW w:w="3500" w:type="dxa"/>
            <w:vAlign w:val="bottom"/>
          </w:tcPr>
          <w:p>
            <w:pPr>
              <w:spacing w:after="0"/>
              <w:rPr>
                <w:sz w:val="24"/>
                <w:szCs w:val="24"/>
                <w:color w:val="auto"/>
              </w:rPr>
            </w:pPr>
          </w:p>
        </w:tc>
        <w:tc>
          <w:tcPr>
            <w:tcW w:w="6080" w:type="dxa"/>
            <w:vAlign w:val="bottom"/>
            <w:gridSpan w:val="2"/>
          </w:tcPr>
          <w:p>
            <w:pPr>
              <w:jc w:val="right"/>
              <w:ind w:right="377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20321 Valencia Circle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Lake Forest, California 92630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Carrubba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20321 Valencia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Forest, CA 92630</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Change of Control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Chung,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Liquidmetal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it is in the best interest of the Company and its stockholders for the Company to agree to provide benefits to those executives, including yourself, who are responsible for the policy-making functions of the Company and the overall viability of the Company’s business, in the event that such executives should leave the employ of the Company under the circumstances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recognizes that circumstances may arise in which a potential change in control of the Company arises, through proposed acquisition or otherwise, thereby causing a potential conflict of interest between the Company’s needs for you to remain focused on the Company’s business and for the necessary continuity in management prior to and following a change in control, and your reasonable personal concerns regarding future employment with the Company and economic protection in the event of loss of employment as a consequence of a change in control;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believes it important, should the Company receive proposals from third parties with respect to its future, to enable you, without being influenced by the uncertainties of your own employment situation and in addition to your regular duties, to assess and advise the Board whether such proposals would be in the best interest of the Company and its stockholders and to take such other action regarding such proposals as the Board might determine to be appropriate;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also wishes to demonstrate to executives of the Company that the Company is concerned with welfare of its executives and intends to see that loyal executives are treated fairly.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to assure the Company that it will have your continued dedication and the availability of your advice and counsel notwithstanding the possibility or occurrence of a change of control of the Company, and to induce you to remain in the employ of the Company, and for other good and valuable consideration, the Company hereby agrees with you as follows in this Change of Control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ind w:left="652" w:hanging="652"/>
        <w:spacing w:after="0" w:line="230"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(i) a Change of Control is consummated, (ii) your employment with the Company is thereafter terminated by the Company for any reason other than for Cause or you terminate your employment with the Company for Good Reason, and (iii) such termination occurs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anniversary of the date on which the Change of Control is consumed (a “</w:t>
      </w:r>
      <w:r>
        <w:rPr>
          <w:rFonts w:ascii="Times New Roman" w:cs="Times New Roman" w:eastAsia="Times New Roman" w:hAnsi="Times New Roman"/>
          <w:sz w:val="18"/>
          <w:szCs w:val="18"/>
          <w:u w:val="single" w:color="auto"/>
          <w:color w:val="auto"/>
        </w:rPr>
        <w:t>Qualified Termination</w:t>
      </w:r>
      <w:r>
        <w:rPr>
          <w:rFonts w:ascii="Times New Roman" w:cs="Times New Roman" w:eastAsia="Times New Roman" w:hAnsi="Times New Roman"/>
          <w:sz w:val="18"/>
          <w:szCs w:val="18"/>
          <w:color w:val="auto"/>
        </w:rPr>
        <w:t>”), then the Company will pay you a lump sum in cash equal to twelve (12) months of your current annual base salary at the date of such termination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paid to you, net any applicable tax or other legally required withholdings, within three (3) business days after the effective date of your termination of employment.</w:t>
      </w:r>
    </w:p>
    <w:p>
      <w:pPr>
        <w:spacing w:after="0" w:line="200"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Certain words or phrases that are initially capitalized or within quotation marks shall have the meanings provided in this Section 2 and as provided elsewhere herein. For purposes of this Agreement, the following definitions apply:</w:t>
      </w:r>
    </w:p>
    <w:p>
      <w:pPr>
        <w:spacing w:after="0" w:line="161" w:lineRule="exact"/>
        <w:rPr>
          <w:rFonts w:ascii="Times New Roman" w:cs="Times New Roman" w:eastAsia="Times New Roman" w:hAnsi="Times New Roman"/>
          <w:sz w:val="18"/>
          <w:szCs w:val="18"/>
          <w:color w:val="auto"/>
        </w:rPr>
      </w:pPr>
    </w:p>
    <w:p>
      <w:pPr>
        <w:ind w:left="1132" w:hanging="48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your commission of fraud, embezzlement, or other similar dishonesty or unlawful conduct with respect to Company or your employment, (ii) committing, pleading guilty, nolo contendre or no contest (or their equivalent) to, entering into a pretrial intervention or diversion program regarding, or conviction of, a felony or any crime or act involving moral turpitude, fraud, dishonesty, or misrepresentation, (iii) committing any act which could reasonably adversely affect or impact to a material degree the interests of the Company or in some manner materially injure the reputation, business, or business relationships of the Company, (iv) your failure or inability to adequately perform your duties for, or responsibilities to, the Company after notice from the Board or the Chief Executive Officer setting forth in reasonable detail the nature of such failure, which failure shall not have been remedied by you within ten (10) days of receiving such notice, or (v) any material breach by you of your Employee Obligation Agreement, as defined below. Any act, or failure to act, that is within authority given pursuant to a resolution duly adopted by the Board or based on the advice of counsel of the Company shall not provide a basis for termination for Cause hereunder.</w:t>
      </w:r>
    </w:p>
    <w:p>
      <w:pPr>
        <w:spacing w:after="0" w:line="194" w:lineRule="exact"/>
        <w:rPr>
          <w:rFonts w:ascii="Times New Roman" w:cs="Times New Roman" w:eastAsia="Times New Roman" w:hAnsi="Times New Roman"/>
          <w:sz w:val="18"/>
          <w:szCs w:val="18"/>
          <w:color w:val="auto"/>
        </w:rPr>
      </w:pPr>
    </w:p>
    <w:p>
      <w:pPr>
        <w:ind w:left="1132" w:hanging="48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take place if hereafter (i) any person, entity, or “group” (as described in Rule 13d-5(b)(1) promulgated under the Securities Exchange Act of 1934, as amended), other than an affiliate or subsidiary of the Company or an employee benefit plan established or maintained by the Company, a subsidiary of the Company, or any of their respective affiliates, acquires more than 50.0% of the combined voting power of the Company’s then outstanding securities; or (ii) the consummation of (A) a merger or consolidation of the Company with or into another corporation unless, after giving effect to such transaction, the stockholders of the Company immediately prior to such transaction own more than 50.0% of the aggregate voting power of the Company or the successor entity of such transaction, or (B) a sale or disposition of all or substantially all of the Company’s assets.</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9" w:name="page30"/>
    <w:bookmarkEnd w:id="29"/>
    <w:p>
      <w:pPr>
        <w:jc w:val="both"/>
        <w:ind w:left="1140" w:hanging="485"/>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2.3</w:t>
        <w:tab/>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(i) the failure of the Company to pay your salary at no less than the rate in effect immediately prior to the Change of Control, (ii) the assignment of you to a position, responsibilities, authority level, or duties of a materially lesser status or degree of responsibility than your position, responsibilities, authority level, or duties immediately prior to your Change of Control, and (iii) (your transfer to a work site more than twenty-five mile distant from your work site immediately prior to the Change of Control, in each case without your consent.</w:t>
      </w:r>
    </w:p>
    <w:p>
      <w:pPr>
        <w:spacing w:after="0" w:line="183" w:lineRule="exact"/>
        <w:rPr>
          <w:sz w:val="20"/>
          <w:szCs w:val="20"/>
          <w:color w:val="auto"/>
        </w:rPr>
      </w:pPr>
    </w:p>
    <w:p>
      <w:pPr>
        <w:jc w:val="both"/>
        <w:ind w:left="1140" w:hanging="485"/>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2.4</w:t>
        <w:tab/>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an association, a partnership, an estate, a trust or other entity or organization (including a “group” as defined in Section l3(d)(3) or 14(d)(2) of the Securities Exchange Act of 1934, as amended), other than the Company or any of its subsidiaries or affiliates.</w:t>
      </w:r>
    </w:p>
    <w:p>
      <w:pPr>
        <w:spacing w:after="0" w:line="176" w:lineRule="exact"/>
        <w:rPr>
          <w:sz w:val="20"/>
          <w:szCs w:val="20"/>
          <w:color w:val="auto"/>
        </w:rPr>
      </w:pPr>
    </w:p>
    <w:p>
      <w:pPr>
        <w:jc w:val="both"/>
        <w:ind w:left="660" w:hanging="652"/>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the Company nor you may make any assignment of this Agreement or any interest herein, by operation of law or otherwise, without the prior written consent of the other; provided, however, that the Company may assign its rights and obligations under this Agreement without your consent in the event that the Company shall hereafter effect a reorganization, or consolidate with, or merge into any Person or transfer all or substantially all of its property or assets to any Person, but only to such Person. This Agreement shall inure to the benefit of and be binding upon the Company, its successors (including without limitation any transferee of all or substantially all of its property or assets) and permitted assigns.</w:t>
      </w:r>
    </w:p>
    <w:p>
      <w:pPr>
        <w:spacing w:after="0" w:line="214" w:lineRule="exact"/>
        <w:rPr>
          <w:rFonts w:ascii="Times New Roman" w:cs="Times New Roman" w:eastAsia="Times New Roman" w:hAnsi="Times New Roman"/>
          <w:sz w:val="18"/>
          <w:szCs w:val="18"/>
          <w:color w:val="auto"/>
        </w:rPr>
      </w:pPr>
    </w:p>
    <w:p>
      <w:pPr>
        <w:ind w:left="660"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merger, consolidation or sale of assets as described above, references to the Company in this Agreement shall, unless the context suggests otherwise, be deemed to mean the entity resulting from such merger or consolidation or the acquirer of such assets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requests, demands, acceptances, appointments and other communications provided for by this Agreement shall be in writing and shall be effective when actually delivered in person, sent by telecopy or similar teletransmission with confirmation of transmission or, if mailed, five (5) days after having been deposited in the United States mail, postage prepaid, registered or certified, and addressed to you at your last known address on the books of the Company or, in the case of the Company, addressed to its principal place of business, attention of Chief Executive Officer, or to such other address as either party may specify by notice to the other actually received.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By signing this Agreement, you acknowledge and agree that nothing in this Agreement shall be construed as creating any obligation by the Company or any subsidiary or affiliate thereof to employ you for a specified term or to continue you employment. Unless otherwise specifically set forth in another written agreement between you and the Company, your employment with the Company, is solely on an “at-will” basis, and therefore your employment may be terminated by the Company at any time and for any reason.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Employee Obligation Agreement</w:t>
      </w:r>
      <w:r>
        <w:rPr>
          <w:rFonts w:ascii="Times New Roman" w:cs="Times New Roman" w:eastAsia="Times New Roman" w:hAnsi="Times New Roman"/>
          <w:sz w:val="18"/>
          <w:szCs w:val="18"/>
          <w:color w:val="auto"/>
        </w:rPr>
        <w:t>. By signing this Agreement, you agree and acknowledge that the Employee Obligation Agreement, executed in 2023 or before as applicable, that you previously entered into with the Company (the “</w:t>
      </w:r>
      <w:r>
        <w:rPr>
          <w:rFonts w:ascii="Times New Roman" w:cs="Times New Roman" w:eastAsia="Times New Roman" w:hAnsi="Times New Roman"/>
          <w:sz w:val="18"/>
          <w:szCs w:val="18"/>
          <w:u w:val="single" w:color="auto"/>
          <w:color w:val="auto"/>
        </w:rPr>
        <w:t>Employee Obligation Agreement</w:t>
      </w:r>
      <w:r>
        <w:rPr>
          <w:rFonts w:ascii="Times New Roman" w:cs="Times New Roman" w:eastAsia="Times New Roman" w:hAnsi="Times New Roman"/>
          <w:sz w:val="18"/>
          <w:szCs w:val="18"/>
          <w:color w:val="auto"/>
        </w:rPr>
        <w:t>”) shall at all times remain in full force and effect in accordance with the terms thereof, and nothing set forth in this Agreement shall modify, waive, or alter any provision of such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Option Vesting</w:t>
      </w:r>
      <w:r>
        <w:rPr>
          <w:rFonts w:ascii="Times New Roman" w:cs="Times New Roman" w:eastAsia="Times New Roman" w:hAnsi="Times New Roman"/>
          <w:sz w:val="18"/>
          <w:szCs w:val="18"/>
          <w:color w:val="auto"/>
        </w:rPr>
        <w:t>. Immediately upon a Change in Control and notwithstanding anything in any Option Award Agreement to the contrary, all stock options subject to any Option Award Agreement shall, to the extent not then already vested and excluding any options that have on such date already expired or been terminated, automatically and immediately vest upon the Change of Control and shall thereafter be exercisable in accordance with the terms and provisions of the applicable Option Award Agreement. The term “</w:t>
      </w:r>
      <w:r>
        <w:rPr>
          <w:rFonts w:ascii="Times New Roman" w:cs="Times New Roman" w:eastAsia="Times New Roman" w:hAnsi="Times New Roman"/>
          <w:sz w:val="18"/>
          <w:szCs w:val="18"/>
          <w:u w:val="single" w:color="auto"/>
          <w:color w:val="auto"/>
        </w:rPr>
        <w:t>Option Award Agreement</w:t>
      </w:r>
      <w:r>
        <w:rPr>
          <w:rFonts w:ascii="Times New Roman" w:cs="Times New Roman" w:eastAsia="Times New Roman" w:hAnsi="Times New Roman"/>
          <w:sz w:val="18"/>
          <w:szCs w:val="18"/>
          <w:color w:val="auto"/>
        </w:rPr>
        <w:t>” means any agreement in effect prior to the date of this Agreement whereunder you have been granted options to purchase shares of common stock of the Company, and the provisions set forth in the preceding sentence shall constitute an amendment to each Option Award Agreement held by you.</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a Change in Control</w:t>
      </w:r>
      <w:r>
        <w:rPr>
          <w:rFonts w:ascii="Times New Roman" w:cs="Times New Roman" w:eastAsia="Times New Roman" w:hAnsi="Times New Roman"/>
          <w:sz w:val="18"/>
          <w:szCs w:val="18"/>
          <w:color w:val="auto"/>
        </w:rPr>
        <w:t>. (i) In the event that a Change in Control (as defined below) occurs and Employee terminates his own employment with the Company by delivering written notice of termination to the Company within thirty (30) days after such Change in Control (an “Employee Termination Notice”), then Employee shall be entitled to lump-sum severance compensation in an amount equal to one year of Employee’s then-current base salary (the “Change in Control Compensation”). The Change in Control Compensation shall be payable on the last pay day of the month in which the Change in Control occurs, but no earlier than fifteen (15) days after Employee delivers the Employee Termination Notice to the Company. In addition to the Change in Control Compensation, the Employee shall, to the extent permitted by any applicable benefit plan, continue to receive, from the date of termination through the first anniversary of such date of termination, all employee health and welfare benefits that Employee would have received during such period in the absence of such termination. Employee agrees and acknowledges, however, that Employee will forfeit the right to receive Change in Control Compensation and benefits during such period immediately upon the Employee’s breach of any covenant set forth in Section 6 of this Agreement. In addition, all unvested shares subject to any equity award shall immediately vest upon the effective date of termination of Employee’s employment as set forth in the Employee Termination Notice. In addition, the period of time during which Employee shall be entitled to exercise any equity award that is an option shall be extended to the earlier of (a) the second anniversary of such effective date of termination or (b) the date on which such option would otherwise expire and terminate in accordance with the terms of such option (without giving effect to any expiration or termination that is based upon the date of any termination of employment). In addition,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left="660" w:hanging="652"/>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409A</w:t>
      </w:r>
      <w:r>
        <w:rPr>
          <w:rFonts w:ascii="Times New Roman" w:cs="Times New Roman" w:eastAsia="Times New Roman" w:hAnsi="Times New Roman"/>
          <w:sz w:val="18"/>
          <w:szCs w:val="18"/>
          <w:color w:val="auto"/>
        </w:rPr>
        <w:t>. This Agreement is intended to conform in all respects to the requirements under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Accordingly, this Agreement shall be interpreted, construed, administered and applied in a manner as shall meet and comply with the requirements of Section 409A, and the Board may amend this Agreement in its discretion and without your consent to the minimum extent necessary so as to comply with any such requirement. Any reference in this Agreement to Section 409A, or any subsection thereof, shall be deemed to mean and include, to the extent then applicable and then in force and effect (but not to the extent overruled, limited or superseded), published rulings, notices and similar announcements issued by the Internal Revenue Service under or interpreting Section 409A and regulations (proposed, temporary or final) issued by the United States Secretary of the Treasury under or interpreting Section 409A.</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headings and captions in this Agreement are for convenience of reference only and in no way define or describe the scope of content of any provision of this Agreement. This Agreement contains the entire agreement of the parties and supersedes all prior agreements and understandings, written or oral, with respect to the subject matter hereof. This Agreement may not be modified, waived or discharged unless such modification, waiver or discharge is agreed to in a writing signed by you and such officer as may be specifically designated by the Board. The validity, interpretation, construction and performance of this Agreement shall be governed by the domestic substantive laws of the State of California without giving effect to any choice or conflict of laws provision or rule that would cause the application of the domestic substantive laws of any other jurisdiction. This Agreement may be executed in two or more counterparts, each of which shall be an original and all of which together shall constitute one and the same instrument.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are in agreement with the foregoing, please so indicate by signing and returning to the Company the original of this Agreement, whereupon this Agreement shall constitute a binding agreement between you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second copy is for your records.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LIQUIDMETAL TECHNOLOGIES ,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Vincent Carrubba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Vincent Carrubba</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Tony Chung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8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20321 Valencia Circle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Lake Forest, California 92630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Carrubba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20321 Valencia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Forest, CA 92630</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Change of Control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Bresnick,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Liquidmetal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it is in the best interest of the Company and its stockholders for the Company to agree to provide benefits to those executives, including yourself, who are responsible for the policy-making functions of the Company and the overall viability of the Company’s business, in the event that such executives should leave the employ of the Company under the circumstances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recognizes that circumstances may arise in which a potential change in control of the Company arises, through proposed acquisition or otherwise, thereby causing a potential conflict of interest between the Company’s needs for you to remain focused on the Company’s business and for the necessary continuity in management prior to and following a change in control, and your reasonable personal concerns regarding future employment with the Company and economic protection in the event of loss of employment as a consequence of a change in control;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believes it important, should the Company receive proposals from third parties with respect to its future, to enable you, without being influenced by the uncertainties of your own employment situation and in addition to your regular duties, to assess and advise the Board whether such proposals would be in the best interest of the Company and its stockholders and to take such other action regarding such proposals as the Board might determine to be appropriate;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also wishes to demonstrate to executives of the Company that the Company is concerned with welfare of its executives and intends to see that loyal executives are treated fairly.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to assure the Company that it will have your continued dedication and the availability of your advice and counsel notwithstanding the possibility or occurrence of a change of control of the Company, and to induce you to remain in the employ of the Company, and for other good and valuable consideration, the Company hereby agrees with you as follows in this Change of Control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both"/>
        <w:ind w:left="652" w:hanging="652"/>
        <w:spacing w:after="0" w:line="23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In the event that: (i) a Change of Control is consummated, (ii) your employment with the Company is thereafter terminated by the Company for any reason other than for Cause or you terminate your employment with the Company for Good Reason, and (iii) such termination occurs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anniversary of the date on which the Change of Control is consumed (a “</w:t>
      </w:r>
      <w:r>
        <w:rPr>
          <w:rFonts w:ascii="Times New Roman" w:cs="Times New Roman" w:eastAsia="Times New Roman" w:hAnsi="Times New Roman"/>
          <w:sz w:val="18"/>
          <w:szCs w:val="18"/>
          <w:u w:val="single" w:color="auto"/>
          <w:color w:val="auto"/>
        </w:rPr>
        <w:t>Qualified Termination</w:t>
      </w:r>
      <w:r>
        <w:rPr>
          <w:rFonts w:ascii="Times New Roman" w:cs="Times New Roman" w:eastAsia="Times New Roman" w:hAnsi="Times New Roman"/>
          <w:sz w:val="18"/>
          <w:szCs w:val="18"/>
          <w:color w:val="auto"/>
        </w:rPr>
        <w:t>”), then the Company will pay you a lump sum in cash equal to twelve (12) months of your current annual base salary at the date of such termination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paid to you, net any applicable tax or other legally required withholdings, within three (3) business days after the effective date of your termination of employment.</w:t>
      </w:r>
    </w:p>
    <w:p>
      <w:pPr>
        <w:spacing w:after="0" w:line="200"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Certain words or phrases that are initially capitalized or within quotation marks shall have the meanings provided in this Section 2 and as provided elsewhere herein. For purposes of this Agreement, the following definitions apply:</w:t>
      </w:r>
    </w:p>
    <w:p>
      <w:pPr>
        <w:spacing w:after="0" w:line="161" w:lineRule="exact"/>
        <w:rPr>
          <w:rFonts w:ascii="Times New Roman" w:cs="Times New Roman" w:eastAsia="Times New Roman" w:hAnsi="Times New Roman"/>
          <w:sz w:val="18"/>
          <w:szCs w:val="18"/>
          <w:color w:val="auto"/>
        </w:rPr>
      </w:pPr>
    </w:p>
    <w:p>
      <w:pPr>
        <w:ind w:left="1132" w:hanging="48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your commission of fraud, embezzlement, or other similar dishonesty or unlawful conduct with respect to Company or your employment, (ii) committing, pleading guilty, nolo contendre or no contest (or their equivalent) to, entering into a pretrial intervention or diversion program regarding, or conviction of, a felony or any crime or act involving moral turpitude, fraud, dishonesty, or misrepresentation, (iii) committing any act which could reasonably adversely affect or impact to a material degree the interests of the Company or in some manner materially injure the reputation, business, or business relationships of the Company, (iv) your failure or inability to adequately perform your duties for, or responsibilities to, the Company after notice from the Board or the Chief Executive Officer setting forth in reasonable detail the nature of such failure, which failure shall not have been remedied by you within ten (10) days of receiving such notice, or (v) any material breach by you of your Employee Obligation Agreement, as defined below. Any act, or failure to act, that is within authority given pursuant to a resolution duly adopted by the Board or based on the advice of counsel of the Company shall not provide a basis for termination for Cause hereunder.</w:t>
      </w:r>
    </w:p>
    <w:p>
      <w:pPr>
        <w:spacing w:after="0" w:line="194" w:lineRule="exact"/>
        <w:rPr>
          <w:rFonts w:ascii="Times New Roman" w:cs="Times New Roman" w:eastAsia="Times New Roman" w:hAnsi="Times New Roman"/>
          <w:sz w:val="18"/>
          <w:szCs w:val="18"/>
          <w:color w:val="auto"/>
        </w:rPr>
      </w:pPr>
    </w:p>
    <w:p>
      <w:pPr>
        <w:ind w:left="1132" w:hanging="48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take place if hereafter (i) any person, entity, or “group” (as described in Rule 13d-5(b)(1) promulgated under the Securities Exchange Act of 1934, as amended), other than an affiliate or subsidiary of the Company or an employee benefit plan established or maintained by the Company, a subsidiary of the Company, or any of their respective affiliates, acquires more than 50.0% of the combined voting power of the Company’s then outstanding securities; or (ii) the consummation of (A) a merger or consolidation of the Company with or into another corporation unless, after giving effect to such transaction, the stockholders of the Company immediately prior to such transaction own more than 50.0% of the aggregate voting power of the Company or the successor entity of such transaction, or (B) a sale or disposition of all or substantially all of the Company’s assets.</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34" w:name="page35"/>
    <w:bookmarkEnd w:id="34"/>
    <w:p>
      <w:pPr>
        <w:jc w:val="both"/>
        <w:ind w:left="1140" w:hanging="485"/>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2.3</w:t>
        <w:tab/>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(i) the failure of the Company to pay your salary at no less than the rate in effect immediately prior to the Change of Control, (ii) the assignment of you to a position, responsibilities, authority level, or duties of a materially lesser status or degree of responsibility than your position, responsibilities, authority level, or duties immediately prior to your Change of Control, and (iii) (your transfer to a work site more than twenty-five mile distant from your work site immediately prior to the Change of Control, in each case without your consent.</w:t>
      </w:r>
    </w:p>
    <w:p>
      <w:pPr>
        <w:spacing w:after="0" w:line="183" w:lineRule="exact"/>
        <w:rPr>
          <w:sz w:val="20"/>
          <w:szCs w:val="20"/>
          <w:color w:val="auto"/>
        </w:rPr>
      </w:pPr>
    </w:p>
    <w:p>
      <w:pPr>
        <w:jc w:val="both"/>
        <w:ind w:left="1140" w:hanging="485"/>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2.4</w:t>
        <w:tab/>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an association, a partnership, an estate, a trust or other entity or organization (including a “group” as defined in Section l3(d)(3) or 14(d)(2) of the Securities Exchange Act of 1934, as amended), other than the Company or any of its subsidiaries or affiliates.</w:t>
      </w:r>
    </w:p>
    <w:p>
      <w:pPr>
        <w:spacing w:after="0" w:line="176" w:lineRule="exact"/>
        <w:rPr>
          <w:sz w:val="20"/>
          <w:szCs w:val="20"/>
          <w:color w:val="auto"/>
        </w:rPr>
      </w:pPr>
    </w:p>
    <w:p>
      <w:pPr>
        <w:jc w:val="both"/>
        <w:ind w:left="660" w:hanging="652"/>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the Company nor you may make any assignment of this Agreement or any interest herein, by operation of law or otherwise, without the prior written consent of the other; provided, however, that the Company may assign its rights and obligations under this Agreement without your consent in the event that the Company shall hereafter effect a reorganization, or consolidate with, or merge into any Person or transfer all or substantially all of its property or assets to any Person, but only to such Person. This Agreement shall inure to the benefit of and be binding upon the Company, its successors (including without limitation any transferee of all or substantially all of its property or assets) and permitted assigns.</w:t>
      </w:r>
    </w:p>
    <w:p>
      <w:pPr>
        <w:spacing w:after="0" w:line="214" w:lineRule="exact"/>
        <w:rPr>
          <w:rFonts w:ascii="Times New Roman" w:cs="Times New Roman" w:eastAsia="Times New Roman" w:hAnsi="Times New Roman"/>
          <w:sz w:val="18"/>
          <w:szCs w:val="18"/>
          <w:color w:val="auto"/>
        </w:rPr>
      </w:pPr>
    </w:p>
    <w:p>
      <w:pPr>
        <w:ind w:left="660"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merger, consolidation or sale of assets as described above, references to the Company in this Agreement shall, unless the context suggests otherwise, be deemed to mean the entity resulting from such merger or consolidation or the acquirer of such assets of the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requests, demands, acceptances, appointments and other communications provided for by this Agreement shall be in writing and shall be effective when actually delivered in person, sent by telecopy or similar teletransmission with confirmation of transmission or, if mailed, five (5) days after having been deposited in the United States mail, postage prepaid, registered or certified, and addressed to you at your last known address on the books of the Company or, in the case of the Company, addressed to its principal place of business, attention of Chief Executive Officer, or to such other address as either party may specify by notice to the other actually received.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By signing this Agreement, you acknowledge and agree that nothing in this Agreement shall be construed as creating any obligation by the Company or any subsidiary or affiliate thereof to employ you for a specified term or to continue you employment. Unless otherwise specifically set forth in another written agreement between you and the Company, your employment with the Company, is solely on an “at-will” basis, and therefore your employment may be terminated by the Company at any time and for any reason.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Employee Obligation Agreement</w:t>
      </w:r>
      <w:r>
        <w:rPr>
          <w:rFonts w:ascii="Times New Roman" w:cs="Times New Roman" w:eastAsia="Times New Roman" w:hAnsi="Times New Roman"/>
          <w:sz w:val="18"/>
          <w:szCs w:val="18"/>
          <w:color w:val="auto"/>
        </w:rPr>
        <w:t>. By signing this Agreement, you agree and acknowledge that the Employee Obligation Agreement, executed in 2023 or before as applicable, that you previously entered into with the Company (the “</w:t>
      </w:r>
      <w:r>
        <w:rPr>
          <w:rFonts w:ascii="Times New Roman" w:cs="Times New Roman" w:eastAsia="Times New Roman" w:hAnsi="Times New Roman"/>
          <w:sz w:val="18"/>
          <w:szCs w:val="18"/>
          <w:u w:val="single" w:color="auto"/>
          <w:color w:val="auto"/>
        </w:rPr>
        <w:t>Employee Obligation Agreement</w:t>
      </w:r>
      <w:r>
        <w:rPr>
          <w:rFonts w:ascii="Times New Roman" w:cs="Times New Roman" w:eastAsia="Times New Roman" w:hAnsi="Times New Roman"/>
          <w:sz w:val="18"/>
          <w:szCs w:val="18"/>
          <w:color w:val="auto"/>
        </w:rPr>
        <w:t>”) shall at all times remain in full force and effect in accordance with the terms thereof, and nothing set forth in this Agreement shall modify, waive, or alter any provision of such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Option Vesting</w:t>
      </w:r>
      <w:r>
        <w:rPr>
          <w:rFonts w:ascii="Times New Roman" w:cs="Times New Roman" w:eastAsia="Times New Roman" w:hAnsi="Times New Roman"/>
          <w:sz w:val="18"/>
          <w:szCs w:val="18"/>
          <w:color w:val="auto"/>
        </w:rPr>
        <w:t>. Immediately upon a Change in Control and notwithstanding anything in any Option Award Agreement to the contrary, all stock options subject to any Option Award Agreement shall, to the extent not then already vested and excluding any options that have on such date already expired or been terminated, automatically and immediately vest upon the Change of Control and shall thereafter be exercisable in accordance with the terms and provisions of the applicable Option Award Agreement. The term “</w:t>
      </w:r>
      <w:r>
        <w:rPr>
          <w:rFonts w:ascii="Times New Roman" w:cs="Times New Roman" w:eastAsia="Times New Roman" w:hAnsi="Times New Roman"/>
          <w:sz w:val="18"/>
          <w:szCs w:val="18"/>
          <w:u w:val="single" w:color="auto"/>
          <w:color w:val="auto"/>
        </w:rPr>
        <w:t>Option Award Agreement</w:t>
      </w:r>
      <w:r>
        <w:rPr>
          <w:rFonts w:ascii="Times New Roman" w:cs="Times New Roman" w:eastAsia="Times New Roman" w:hAnsi="Times New Roman"/>
          <w:sz w:val="18"/>
          <w:szCs w:val="18"/>
          <w:color w:val="auto"/>
        </w:rPr>
        <w:t>” means any agreement in effect prior to the date of this Agreement whereunder you have been granted options to purchase shares of common stock of the Company, and the provisions set forth in the preceding sentence shall constitute an amendment to each Option Award Agreement held by you.</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a Change in Control</w:t>
      </w:r>
      <w:r>
        <w:rPr>
          <w:rFonts w:ascii="Times New Roman" w:cs="Times New Roman" w:eastAsia="Times New Roman" w:hAnsi="Times New Roman"/>
          <w:sz w:val="18"/>
          <w:szCs w:val="18"/>
          <w:color w:val="auto"/>
        </w:rPr>
        <w:t>. (i) In the event that a Change in Control (as defined below) occurs and Employee terminates his own employment with the Company by delivering written notice of termination to the Company within thirty (30) days after such Change in Control (an “Employee Termination Notice”), then Employee shall be entitled to lump-sum severance compensation in an amount equal to one year of Employee’s then-current base salary (the “Change in Control Compensation”). The Change in Control Compensation shall be payable on the last pay day of the month in which the Change in Control occurs, but no earlier than fifteen (15) days after Employee delivers the Employee Termination Notice to the Company. In addition to the Change in Control Compensation, the Employee shall, to the extent permitted by any applicable benefit plan, continue to receive, from the date of termination through the first anniversary of such date of termination, all employee health and welfare benefits that Employee would have received during such period in the absence of such termination. Employee agrees and acknowledges, however, that Employee will forfeit the right to receive Change in Control Compensation and benefits during such period immediately upon the Employee’s breach of any covenant set forth in Section 6 of this Agreement. In addition, all unvested shares subject to any equity award shall immediately vest upon the effective date of termination of Employee’s employment as set forth in the Employee Termination Notice. In addition, the period of time during which Employee shall be entitled to exercise any equity award that is an option shall be extended to the earlier of (a) the second anniversary of such effective date of termination or (b) the date on which such option would otherwise expire and terminate in accordance with the terms of such option (without giving effect to any expiration or termination that is based upon the date of any termination of employment). In addition,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left="660" w:hanging="652"/>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409A</w:t>
      </w:r>
      <w:r>
        <w:rPr>
          <w:rFonts w:ascii="Times New Roman" w:cs="Times New Roman" w:eastAsia="Times New Roman" w:hAnsi="Times New Roman"/>
          <w:sz w:val="18"/>
          <w:szCs w:val="18"/>
          <w:color w:val="auto"/>
        </w:rPr>
        <w:t>. This Agreement is intended to conform in all respects to the requirements under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Accordingly, this Agreement shall be interpreted, construed, administered and applied in a manner as shall meet and comply with the requirements of Section 409A, and the Board may amend this Agreement in its discretion and without your consent to the minimum extent necessary so as to comply with any such requirement. Any reference in this Agreement to Section 409A, or any subsection thereof, shall be deemed to mean and include, to the extent then applicable and then in force and effect (but not to the extent overruled, limited or superseded), published rulings, notices and similar announcements issued by the Internal Revenue Service under or interpreting Section 409A and regulations (proposed, temporary or final) issued by the United States Secretary of the Treasury under or interpreting Section 409A.</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headings and captions in this Agreement are for convenience of reference only and in no way define or describe the scope of content of any provision of this Agreement. This Agreement contains the entire agreement of the parties and supersedes all prior agreements and understandings, written or oral, with respect to the subject matter hereof. This Agreement may not be modified, waived or discharged unless such modification, waiver or discharge is agreed to in a writing signed by you and such officer as may be specifically designated by the Board. The validity, interpretation, construction and performance of this Agreement shall be governed by the domestic substantive laws of the State of California without giving effect to any choice or conflict of laws provision or rule that would cause the application of the domestic substantive laws of any other jurisdiction. This Agreement may be executed in two or more counterparts, each of which shall be an original and all of which together shall constitute one and the same instrument.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are in agreement with the foregoing, please so indicate by signing and returning to the Company the original of this Agreement, whereupon this Agreement shall constitute a binding agreement between you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second copy is for your records.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LIQUIDMETAL TECHNOLOGIES ,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Vincent Carrubba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Vincent Carrubba</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Isaac Bresnick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Isaac Bresnick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Chung,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Liquidmetal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2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8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8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7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7"/>
          <w:szCs w:val="17"/>
          <w:color w:val="auto"/>
        </w:rPr>
        <w:t>/s/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Tony Chung</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(Principal Executive Officer and Principal</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March 31, 2024 (the “Report”) fully complies with the requirements of Section 13(a) of the Securities Exchange Act of 1934 and that 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Chung, Chief Executive Officer and Principal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04"/>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6"/>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6"/>
    </w:lvl>
  </w:abstractNum>
  <w:abstractNum w:abstractNumId="13">
    <w:nsid w:val="7FDCC233"/>
    <w:multiLevelType w:val="hybridMultilevel"/>
    <w:lvl w:ilvl="0">
      <w:lvlJc w:val="left"/>
      <w:lvlText w:val="%1."/>
      <w:numFmt w:val="decimal"/>
      <w:start w:val="9"/>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2024-05-20T15:28:06Z</dcterms:created>
  <dcterms:modified xsi:type="dcterms:W3CDTF">2024-05-20T15:28:06Z</dcterms:modified>
</cp:coreProperties>
</file>