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mt20250930_10q.htm"/>
      <w:bookmarkStart w:id="1" w:name="kslqmt202509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7" w:type="dxa"/>
        <w:tblLayout w:type="fixed"/>
        <w:tblCellMar>
          <w:top w:w="28" w:type="dxa"/>
          <w:left w:w="28" w:type="dxa"/>
          <w:bottom w:w="28" w:type="dxa"/>
          <w:right w:w="28" w:type="dxa"/>
        </w:tblCellMar>
      </w:tblPr>
      <w:tblGrid>
        <w:gridCol w:w="230"/>
        <w:gridCol w:w="9875"/>
      </w:tblGrid>
      <w:tr>
        <w:trPr/>
        <w:tc>
          <w:tcPr>
            <w:tcW w:w="2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w:t>
      </w:r>
      <w:r>
        <w:rPr>
          <w:rFonts w:ascii="Times New Roman" w:hAnsi="Times New Roman"/>
          <w:b/>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28" w:type="dxa"/>
          <w:left w:w="28" w:type="dxa"/>
          <w:bottom w:w="28" w:type="dxa"/>
          <w:right w:w="28" w:type="dxa"/>
        </w:tblCellMar>
      </w:tblPr>
      <w:tblGrid>
        <w:gridCol w:w="230"/>
        <w:gridCol w:w="9860"/>
      </w:tblGrid>
      <w:tr>
        <w:trPr/>
        <w:tc>
          <w:tcPr>
            <w:tcW w:w="2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No</w:t>
      </w:r>
      <w:r>
        <w:rPr>
          <w:rFonts w:ascii="Times New Roman" w:hAnsi="Times New Roman"/>
          <w:caps w:val="false"/>
          <w:smallCaps w:val="false"/>
          <w:sz w:val="20"/>
        </w:rPr>
        <w:t>.  </w:t>
      </w:r>
      <w:r>
        <w:rPr>
          <w:rFonts w:ascii="Times New Roman" w:hAnsi="Times New Roman"/>
          <w:b/>
          <w:caps w:val="false"/>
          <w:smallCaps w:val="false"/>
          <w:sz w:val="20"/>
        </w:rPr>
        <w:t>001-31332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7" w:type="dxa"/>
        <w:tblLayout w:type="fixed"/>
        <w:tblCellMar>
          <w:top w:w="28" w:type="dxa"/>
          <w:left w:w="28" w:type="dxa"/>
          <w:bottom w:w="28" w:type="dxa"/>
          <w:right w:w="28" w:type="dxa"/>
        </w:tblCellMar>
      </w:tblPr>
      <w:tblGrid>
        <w:gridCol w:w="2480"/>
        <w:gridCol w:w="1520"/>
      </w:tblGrid>
      <w:tr>
        <w:trPr/>
        <w:tc>
          <w:tcPr>
            <w:tcW w:w="2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Lake Forest,</w:t>
      </w:r>
      <w:r>
        <w:rPr>
          <w:rFonts w:ascii="Times New Roman" w:hAnsi="Times New Roman"/>
          <w:caps w:val="false"/>
          <w:smallCaps w:val="false"/>
          <w:sz w:val="20"/>
        </w:rPr>
        <w:t> </w:t>
      </w:r>
      <w:r>
        <w:rPr>
          <w:rFonts w:ascii="Times New Roman" w:hAnsi="Times New Roman"/>
          <w:b/>
          <w:caps w:val="false"/>
          <w:smallCaps w:val="false"/>
          <w:sz w:val="20"/>
        </w:rPr>
        <w:t>CA</w:t>
      </w:r>
      <w:r>
        <w:rPr>
          <w:rFonts w:ascii="Times New Roman" w:hAnsi="Times New Roman"/>
          <w:caps w:val="false"/>
          <w:smallCaps w:val="false"/>
          <w:sz w:val="20"/>
        </w:rPr>
        <w:t> </w:t>
      </w:r>
      <w:r>
        <w:rPr>
          <w:rFonts w:ascii="Times New Roman" w:hAnsi="Times New Roman"/>
          <w:b/>
          <w:caps w:val="false"/>
          <w:smallCaps w:val="false"/>
          <w:sz w:val="20"/>
        </w:rPr>
        <w:t>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(949)</w:t>
      </w:r>
      <w:r>
        <w:rPr>
          <w:rFonts w:ascii="Times New Roman" w:hAnsi="Times New Roman"/>
          <w:caps w:val="false"/>
          <w:smallCaps w:val="false"/>
          <w:sz w:val="20"/>
        </w:rPr>
        <w:t> </w:t>
      </w:r>
      <w:r>
        <w:rPr>
          <w:rFonts w:ascii="Times New Roman" w:hAnsi="Times New Roman"/>
          <w:b/>
          <w:caps w:val="false"/>
          <w:smallCaps w:val="false"/>
          <w:sz w:val="20"/>
        </w:rPr>
        <w:t>635-2100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150" w:type="dxa"/>
        <w:jc w:val="left"/>
        <w:tblInd w:w="-7" w:type="dxa"/>
        <w:tblLayout w:type="fixed"/>
        <w:tblCellMar>
          <w:top w:w="28" w:type="dxa"/>
          <w:left w:w="28" w:type="dxa"/>
          <w:bottom w:w="28" w:type="dxa"/>
          <w:right w:w="28" w:type="dxa"/>
        </w:tblCellMar>
      </w:tblPr>
      <w:tblGrid>
        <w:gridCol w:w="2540"/>
        <w:gridCol w:w="1670"/>
        <w:gridCol w:w="1940"/>
      </w:tblGrid>
      <w:tr>
        <w:trPr/>
        <w:tc>
          <w:tcPr>
            <w:tcW w:w="25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w:t>
            </w:r>
          </w:p>
        </w:tc>
        <w:tc>
          <w:tcPr>
            <w:tcW w:w="167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  </w:t>
            </w:r>
          </w:p>
        </w:tc>
        <w:tc>
          <w:tcPr>
            <w:tcW w:w="19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r>
      <w:tr>
        <w:trPr/>
        <w:tc>
          <w:tcPr>
            <w:tcW w:w="25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6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4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5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  </w:t>
            </w:r>
          </w:p>
        </w:tc>
        <w:tc>
          <w:tcPr>
            <w:tcW w:w="3610"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common shares outstanding as of November 13, 2025 was 917,285,149.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LIQUIDMETAL TECHNOLOGIES, INC.</w:t>
      </w:r>
      <w:r>
        <w:rPr>
          <w:rFonts w:ascii="Times New Roman" w:hAnsi="Times New Roman"/>
          <w:caps w:val="false"/>
          <w:smallCaps w:val="false"/>
          <w:sz w:val="20"/>
        </w:rPr>
        <w:br/>
      </w:r>
      <w:r>
        <w:rPr>
          <w:rFonts w:ascii="Times New Roman" w:hAnsi="Times New Roman"/>
          <w:b/>
          <w:caps w:val="false"/>
          <w:smallCaps w:val="false"/>
          <w:sz w:val="20"/>
        </w:rPr>
        <w:t>FORM 10-Q</w:t>
      </w:r>
      <w:r>
        <w:rPr>
          <w:rFonts w:ascii="Times New Roman" w:hAnsi="Times New Roman"/>
          <w:caps w:val="false"/>
          <w:smallCaps w:val="false"/>
          <w:sz w:val="20"/>
        </w:rPr>
        <w:br/>
      </w:r>
      <w:r>
        <w:rPr>
          <w:rFonts w:ascii="Times New Roman" w:hAnsi="Times New Roman"/>
          <w:b/>
          <w:caps w:val="false"/>
          <w:smallCaps w:val="false"/>
          <w:sz w:val="20"/>
        </w:rPr>
        <w:t>FOR THE QUARTER ENDED</w:t>
      </w:r>
      <w:r>
        <w:rPr>
          <w:rFonts w:ascii="Times New Roman" w:hAnsi="Times New Roman"/>
          <w:caps w:val="false"/>
          <w:smallCaps w:val="false"/>
          <w:sz w:val="20"/>
        </w:rPr>
        <w:t> </w:t>
      </w:r>
      <w:r>
        <w:rPr>
          <w:rFonts w:ascii="Times New Roman" w:hAnsi="Times New Roman"/>
          <w:b/>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2024 entitled “Risk Factors,” as well as the following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7" w:type="dxa"/>
        <w:tblLayout w:type="fixed"/>
        <w:tblCellMar>
          <w:top w:w="28" w:type="dxa"/>
          <w:left w:w="28" w:type="dxa"/>
          <w:bottom w:w="28" w:type="dxa"/>
          <w:right w:w="28" w:type="dxa"/>
        </w:tblCellMar>
      </w:tblPr>
      <w:tblGrid>
        <w:gridCol w:w="170"/>
        <w:gridCol w:w="9770"/>
      </w:tblGrid>
      <w:tr>
        <w:trPr/>
        <w:tc>
          <w:tcPr>
            <w:tcW w:w="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history of operating losses and the uncertainty surrounding our ability to achieve or sustain profitability;</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history of developing and selling products made from our bulk amorphous alloys;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associated with having products manufactured from our alloys and the use of third parties for manufacturing;</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history of licensing our technology to third parties;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Lengthy customer adoption cycles and unpredictable customer adoption practices;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develop, and commercialize new product applications for our technology;</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current suppliers of incumbent materials or producers of competing products;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consummate, and/or integrate strategic partnerships;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for manufacturing problems or delays;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difficulties associated with protecting or expanding our intellectual property position;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undertake no obligation, other than as required by applicable law,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985"/>
        <w:gridCol w:w="230"/>
      </w:tblGrid>
      <w:tr>
        <w:trPr/>
        <w:tc>
          <w:tcPr>
            <w:tcW w:w="7985" w:type="dxa"/>
            <w:tcBorders/>
            <w:vAlign w:val="center"/>
          </w:tcPr>
          <w:p>
            <w:pPr>
              <w:pStyle w:val="TableContents"/>
              <w:bidi w:val="0"/>
              <w:spacing w:before="0" w:after="0"/>
              <w:ind w:left="0" w:right="0" w:hanging="0"/>
              <w:jc w:val="left"/>
              <w:rPr/>
            </w:pPr>
            <w:hyperlink w:anchor="pone">
              <w:r>
                <w:rPr>
                  <w:rStyle w:val="InternetLink"/>
                  <w:rFonts w:ascii="Times New Roman" w:hAnsi="Times New Roman"/>
                  <w:b/>
                  <w:caps w:val="false"/>
                  <w:smallCaps w:val="false"/>
                  <w:sz w:val="20"/>
                  <w:u w:val="single"/>
                </w:rPr>
                <w:t>PART I</w:t>
              </w:r>
            </w:hyperlink>
            <w:hyperlink w:anchor="pone">
              <w:r>
                <w:rPr>
                  <w:rStyle w:val="InternetLink"/>
                  <w:rFonts w:ascii="Times New Roman" w:hAnsi="Times New Roman"/>
                  <w:caps w:val="false"/>
                  <w:smallCaps w:val="false"/>
                  <w:sz w:val="20"/>
                  <w:u w:val="single"/>
                </w:rPr>
                <w:t> – </w:t>
              </w:r>
            </w:hyperlink>
            <w:hyperlink w:anchor="pone">
              <w:r>
                <w:rPr>
                  <w:rStyle w:val="InternetLink"/>
                  <w:rFonts w:ascii="Times New Roman" w:hAnsi="Times New Roman"/>
                  <w:b/>
                  <w:caps w:val="false"/>
                  <w:smallCaps w:val="false"/>
                  <w:sz w:val="20"/>
                  <w:u w:val="single"/>
                </w:rPr>
                <w:t>Financial Information</w:t>
              </w:r>
            </w:hyperlink>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1">
              <w:r>
                <w:rPr>
                  <w:rStyle w:val="InternetLink"/>
                  <w:rFonts w:ascii="Times New Roman" w:hAnsi="Times New Roman"/>
                  <w:caps w:val="false"/>
                  <w:smallCaps w:val="false"/>
                  <w:sz w:val="20"/>
                  <w:u w:val="single"/>
                </w:rPr>
                <w:t>Item 1 – Financial Statements</w:t>
              </w:r>
            </w:hyperlink>
          </w:p>
        </w:tc>
        <w:tc>
          <w:tcPr>
            <w:tcW w:w="230" w:type="dxa"/>
            <w:tcBorders/>
            <w:vAlign w:val="center"/>
          </w:tcPr>
          <w:p>
            <w:pPr>
              <w:pStyle w:val="TableContents"/>
              <w:bidi w:val="0"/>
              <w:spacing w:before="0" w:after="0"/>
              <w:ind w:left="0" w:right="0" w:hanging="0"/>
              <w:jc w:val="center"/>
              <w:rPr/>
            </w:pPr>
            <w:hyperlink w:anchor="item1">
              <w:r>
                <w:rPr>
                  <w:rStyle w:val="InternetLink"/>
                  <w:rFonts w:ascii="Times New Roman" w:hAnsi="Times New Roman"/>
                  <w:caps w:val="false"/>
                  <w:smallCaps w:val="false"/>
                  <w:sz w:val="20"/>
                </w:rPr>
                <w:t>4</w:t>
              </w:r>
            </w:hyperlink>
          </w:p>
        </w:tc>
      </w:tr>
      <w:tr>
        <w:trPr/>
        <w:tc>
          <w:tcPr>
            <w:tcW w:w="7985" w:type="dxa"/>
            <w:tcBorders/>
            <w:vAlign w:val="center"/>
          </w:tcPr>
          <w:p>
            <w:pPr>
              <w:pStyle w:val="TableContents"/>
              <w:bidi w:val="0"/>
              <w:spacing w:before="0" w:after="0"/>
              <w:ind w:left="540" w:right="0" w:hanging="0"/>
              <w:jc w:val="left"/>
              <w:rPr/>
            </w:pPr>
            <w:hyperlink w:anchor="bals">
              <w:r>
                <w:rPr>
                  <w:rStyle w:val="InternetLink"/>
                  <w:rFonts w:ascii="Times New Roman" w:hAnsi="Times New Roman"/>
                  <w:caps w:val="false"/>
                  <w:smallCaps w:val="false"/>
                  <w:sz w:val="20"/>
                  <w:u w:val="single"/>
                </w:rPr>
                <w:t>Unaudited Consolidated Balance Sheets</w:t>
              </w:r>
            </w:hyperlink>
          </w:p>
        </w:tc>
        <w:tc>
          <w:tcPr>
            <w:tcW w:w="230" w:type="dxa"/>
            <w:tcBorders/>
            <w:vAlign w:val="center"/>
          </w:tcPr>
          <w:p>
            <w:pPr>
              <w:pStyle w:val="TableContents"/>
              <w:bidi w:val="0"/>
              <w:spacing w:before="0" w:after="0"/>
              <w:ind w:left="0" w:right="0" w:hanging="0"/>
              <w:jc w:val="center"/>
              <w:rPr/>
            </w:pPr>
            <w:hyperlink w:anchor="bals">
              <w:r>
                <w:rPr>
                  <w:rStyle w:val="InternetLink"/>
                  <w:rFonts w:ascii="Times New Roman" w:hAnsi="Times New Roman"/>
                  <w:caps w:val="false"/>
                  <w:smallCaps w:val="false"/>
                  <w:sz w:val="20"/>
                </w:rPr>
                <w:t>4</w:t>
              </w:r>
            </w:hyperlink>
          </w:p>
        </w:tc>
      </w:tr>
      <w:tr>
        <w:trPr/>
        <w:tc>
          <w:tcPr>
            <w:tcW w:w="7985" w:type="dxa"/>
            <w:tcBorders/>
            <w:vAlign w:val="center"/>
          </w:tcPr>
          <w:p>
            <w:pPr>
              <w:pStyle w:val="TableContents"/>
              <w:bidi w:val="0"/>
              <w:spacing w:before="0" w:after="0"/>
              <w:ind w:left="540" w:right="0" w:hanging="0"/>
              <w:jc w:val="left"/>
              <w:rPr/>
            </w:pPr>
            <w:hyperlink w:anchor="ops">
              <w:r>
                <w:rPr>
                  <w:rStyle w:val="InternetLink"/>
                  <w:rFonts w:ascii="Times New Roman" w:hAnsi="Times New Roman"/>
                  <w:caps w:val="false"/>
                  <w:smallCaps w:val="false"/>
                  <w:sz w:val="20"/>
                  <w:u w:val="single"/>
                </w:rPr>
                <w:t>Unaudited Consolidated Statements of Operations</w:t>
              </w:r>
            </w:hyperlink>
          </w:p>
        </w:tc>
        <w:tc>
          <w:tcPr>
            <w:tcW w:w="230" w:type="dxa"/>
            <w:tcBorders/>
            <w:vAlign w:val="center"/>
          </w:tcPr>
          <w:p>
            <w:pPr>
              <w:pStyle w:val="TableContents"/>
              <w:bidi w:val="0"/>
              <w:spacing w:before="0" w:after="0"/>
              <w:ind w:left="0" w:right="0" w:hanging="0"/>
              <w:jc w:val="center"/>
              <w:rPr/>
            </w:pPr>
            <w:hyperlink w:anchor="ops">
              <w:r>
                <w:rPr>
                  <w:rStyle w:val="InternetLink"/>
                  <w:rFonts w:ascii="Times New Roman" w:hAnsi="Times New Roman"/>
                  <w:caps w:val="false"/>
                  <w:smallCaps w:val="false"/>
                  <w:sz w:val="20"/>
                </w:rPr>
                <w:t>5</w:t>
              </w:r>
            </w:hyperlink>
          </w:p>
        </w:tc>
      </w:tr>
      <w:tr>
        <w:trPr/>
        <w:tc>
          <w:tcPr>
            <w:tcW w:w="7985" w:type="dxa"/>
            <w:tcBorders/>
            <w:vAlign w:val="center"/>
          </w:tcPr>
          <w:p>
            <w:pPr>
              <w:pStyle w:val="TableContents"/>
              <w:bidi w:val="0"/>
              <w:spacing w:before="0" w:after="0"/>
              <w:ind w:left="540" w:right="0" w:hanging="0"/>
              <w:jc w:val="left"/>
              <w:rPr/>
            </w:pPr>
            <w:hyperlink w:anchor="equity">
              <w:r>
                <w:rPr>
                  <w:rStyle w:val="InternetLink"/>
                  <w:rFonts w:ascii="Times New Roman" w:hAnsi="Times New Roman"/>
                  <w:caps w:val="false"/>
                  <w:smallCaps w:val="false"/>
                  <w:sz w:val="20"/>
                  <w:u w:val="single"/>
                </w:rPr>
                <w:t>Unaudited Consolidated Statements of Stockholders’ Equity</w:t>
              </w:r>
            </w:hyperlink>
          </w:p>
        </w:tc>
        <w:tc>
          <w:tcPr>
            <w:tcW w:w="230"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6</w:t>
              </w:r>
            </w:hyperlink>
          </w:p>
        </w:tc>
      </w:tr>
      <w:tr>
        <w:trPr/>
        <w:tc>
          <w:tcPr>
            <w:tcW w:w="7985" w:type="dxa"/>
            <w:tcBorders/>
            <w:vAlign w:val="center"/>
          </w:tcPr>
          <w:p>
            <w:pPr>
              <w:pStyle w:val="TableContents"/>
              <w:bidi w:val="0"/>
              <w:spacing w:before="0" w:after="0"/>
              <w:ind w:left="540" w:right="0" w:hanging="0"/>
              <w:jc w:val="left"/>
              <w:rPr/>
            </w:pPr>
            <w:hyperlink w:anchor="comp">
              <w:r>
                <w:rPr>
                  <w:rStyle w:val="InternetLink"/>
                  <w:rFonts w:ascii="Times New Roman" w:hAnsi="Times New Roman"/>
                  <w:caps w:val="false"/>
                  <w:smallCaps w:val="false"/>
                  <w:sz w:val="20"/>
                  <w:u w:val="single"/>
                </w:rPr>
                <w:t>Unaudited Consolidated Statements of Comprehensive Income (Loss)</w:t>
              </w:r>
            </w:hyperlink>
          </w:p>
        </w:tc>
        <w:tc>
          <w:tcPr>
            <w:tcW w:w="230" w:type="dxa"/>
            <w:tcBorders/>
            <w:vAlign w:val="center"/>
          </w:tcPr>
          <w:p>
            <w:pPr>
              <w:pStyle w:val="TableContents"/>
              <w:bidi w:val="0"/>
              <w:spacing w:before="0" w:after="0"/>
              <w:ind w:left="0" w:right="0" w:hanging="0"/>
              <w:jc w:val="center"/>
              <w:rPr/>
            </w:pPr>
            <w:hyperlink w:anchor="comp">
              <w:r>
                <w:rPr>
                  <w:rStyle w:val="InternetLink"/>
                  <w:rFonts w:ascii="Times New Roman" w:hAnsi="Times New Roman"/>
                  <w:caps w:val="false"/>
                  <w:smallCaps w:val="false"/>
                  <w:sz w:val="20"/>
                </w:rPr>
                <w:t>7</w:t>
              </w:r>
            </w:hyperlink>
          </w:p>
        </w:tc>
      </w:tr>
      <w:tr>
        <w:trPr/>
        <w:tc>
          <w:tcPr>
            <w:tcW w:w="7985" w:type="dxa"/>
            <w:tcBorders/>
            <w:vAlign w:val="center"/>
          </w:tcPr>
          <w:p>
            <w:pPr>
              <w:pStyle w:val="TableContents"/>
              <w:bidi w:val="0"/>
              <w:spacing w:before="0" w:after="0"/>
              <w:ind w:left="540" w:right="0" w:hanging="0"/>
              <w:jc w:val="left"/>
              <w:rPr/>
            </w:pPr>
            <w:hyperlink w:anchor="cash">
              <w:r>
                <w:rPr>
                  <w:rStyle w:val="InternetLink"/>
                  <w:rFonts w:ascii="Times New Roman" w:hAnsi="Times New Roman"/>
                  <w:caps w:val="false"/>
                  <w:smallCaps w:val="false"/>
                  <w:sz w:val="20"/>
                  <w:u w:val="single"/>
                </w:rPr>
                <w:t>Unaudited Consolidated Statements of Cash Flows</w:t>
              </w:r>
            </w:hyperlink>
          </w:p>
        </w:tc>
        <w:tc>
          <w:tcPr>
            <w:tcW w:w="230" w:type="dxa"/>
            <w:tcBorders/>
            <w:vAlign w:val="center"/>
          </w:tcPr>
          <w:p>
            <w:pPr>
              <w:pStyle w:val="TableContents"/>
              <w:bidi w:val="0"/>
              <w:spacing w:before="0" w:after="0"/>
              <w:ind w:left="0" w:right="0" w:hanging="0"/>
              <w:jc w:val="center"/>
              <w:rPr/>
            </w:pPr>
            <w:hyperlink w:anchor="cash">
              <w:r>
                <w:rPr>
                  <w:rStyle w:val="InternetLink"/>
                  <w:rFonts w:ascii="Times New Roman" w:hAnsi="Times New Roman"/>
                  <w:caps w:val="false"/>
                  <w:smallCaps w:val="false"/>
                  <w:sz w:val="20"/>
                </w:rPr>
                <w:t>8</w:t>
              </w:r>
            </w:hyperlink>
          </w:p>
        </w:tc>
      </w:tr>
      <w:tr>
        <w:trPr/>
        <w:tc>
          <w:tcPr>
            <w:tcW w:w="7985" w:type="dxa"/>
            <w:tcBorders/>
            <w:vAlign w:val="center"/>
          </w:tcPr>
          <w:p>
            <w:pPr>
              <w:pStyle w:val="TableContents"/>
              <w:bidi w:val="0"/>
              <w:spacing w:before="0" w:after="0"/>
              <w:ind w:left="540" w:right="0" w:hanging="0"/>
              <w:jc w:val="left"/>
              <w:rPr/>
            </w:pPr>
            <w:hyperlink w:anchor="notes">
              <w:r>
                <w:rPr>
                  <w:rStyle w:val="InternetLink"/>
                  <w:rFonts w:ascii="Times New Roman" w:hAnsi="Times New Roman"/>
                  <w:caps w:val="false"/>
                  <w:smallCaps w:val="false"/>
                  <w:sz w:val="20"/>
                  <w:u w:val="single"/>
                </w:rPr>
                <w:t>Notes to Unaudited Consolidated Financial Statements</w:t>
              </w:r>
            </w:hyperlink>
          </w:p>
        </w:tc>
        <w:tc>
          <w:tcPr>
            <w:tcW w:w="23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9</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mgmt">
              <w:r>
                <w:rPr>
                  <w:rStyle w:val="InternetLink"/>
                  <w:rFonts w:ascii="Times New Roman" w:hAnsi="Times New Roman"/>
                  <w:caps w:val="false"/>
                  <w:smallCaps w:val="false"/>
                  <w:sz w:val="20"/>
                  <w:u w:val="single"/>
                </w:rPr>
                <w:t>Item 2 –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center"/>
              <w:rPr/>
            </w:pPr>
            <w:hyperlink w:anchor="mgmt">
              <w:r>
                <w:rPr>
                  <w:rStyle w:val="InternetLink"/>
                  <w:rFonts w:ascii="Times New Roman" w:hAnsi="Times New Roman"/>
                  <w:caps w:val="false"/>
                  <w:smallCaps w:val="false"/>
                  <w:sz w:val="20"/>
                </w:rPr>
                <w:t>18</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quant">
              <w:r>
                <w:rPr>
                  <w:rStyle w:val="InternetLink"/>
                  <w:rFonts w:ascii="Times New Roman" w:hAnsi="Times New Roman"/>
                  <w:caps w:val="false"/>
                  <w:smallCaps w:val="false"/>
                  <w:sz w:val="20"/>
                  <w:u w:val="single"/>
                </w:rPr>
                <w:t>Item 3 – Quantitative and Qualitative Disclosures about Market Risk</w:t>
              </w:r>
            </w:hyperlink>
          </w:p>
        </w:tc>
        <w:tc>
          <w:tcPr>
            <w:tcW w:w="230" w:type="dxa"/>
            <w:tcBorders/>
            <w:vAlign w:val="center"/>
          </w:tcPr>
          <w:p>
            <w:pPr>
              <w:pStyle w:val="TableContents"/>
              <w:bidi w:val="0"/>
              <w:spacing w:before="0" w:after="0"/>
              <w:ind w:left="0" w:right="0" w:hanging="0"/>
              <w:jc w:val="center"/>
              <w:rPr/>
            </w:pPr>
            <w:hyperlink w:anchor="quant">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conpro">
              <w:r>
                <w:rPr>
                  <w:rStyle w:val="InternetLink"/>
                  <w:rFonts w:ascii="Times New Roman" w:hAnsi="Times New Roman"/>
                  <w:caps w:val="false"/>
                  <w:smallCaps w:val="false"/>
                  <w:sz w:val="20"/>
                  <w:u w:val="single"/>
                </w:rPr>
                <w:t>Item 4 – Controls and Procedures</w:t>
              </w:r>
            </w:hyperlink>
          </w:p>
        </w:tc>
        <w:tc>
          <w:tcPr>
            <w:tcW w:w="230" w:type="dxa"/>
            <w:tcBorders/>
            <w:vAlign w:val="center"/>
          </w:tcPr>
          <w:p>
            <w:pPr>
              <w:pStyle w:val="TableContents"/>
              <w:bidi w:val="0"/>
              <w:spacing w:before="0" w:after="0"/>
              <w:ind w:left="0" w:right="0" w:hanging="0"/>
              <w:jc w:val="center"/>
              <w:rPr/>
            </w:pPr>
            <w:hyperlink w:anchor="conpro">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ptwo">
              <w:r>
                <w:rPr>
                  <w:rStyle w:val="InternetLink"/>
                  <w:rFonts w:ascii="Times New Roman" w:hAnsi="Times New Roman"/>
                  <w:b/>
                  <w:caps w:val="false"/>
                  <w:smallCaps w:val="false"/>
                  <w:sz w:val="20"/>
                  <w:u w:val="single"/>
                </w:rPr>
                <w:t>PART II</w:t>
              </w:r>
            </w:hyperlink>
            <w:hyperlink w:anchor="ptwo">
              <w:r>
                <w:rPr>
                  <w:rStyle w:val="InternetLink"/>
                  <w:rFonts w:ascii="Times New Roman" w:hAnsi="Times New Roman"/>
                  <w:caps w:val="false"/>
                  <w:smallCaps w:val="false"/>
                  <w:sz w:val="20"/>
                  <w:u w:val="single"/>
                </w:rPr>
                <w:t> – </w:t>
              </w:r>
            </w:hyperlink>
            <w:hyperlink w:anchor="ptwo">
              <w:r>
                <w:rPr>
                  <w:rStyle w:val="InternetLink"/>
                  <w:rFonts w:ascii="Times New Roman" w:hAnsi="Times New Roman"/>
                  <w:b/>
                  <w:caps w:val="false"/>
                  <w:smallCaps w:val="false"/>
                  <w:sz w:val="20"/>
                  <w:u w:val="single"/>
                </w:rPr>
                <w:t>Other Information</w:t>
              </w:r>
            </w:hyperlink>
          </w:p>
        </w:tc>
        <w:tc>
          <w:tcPr>
            <w:tcW w:w="230" w:type="dxa"/>
            <w:tcBorders/>
            <w:vAlign w:val="center"/>
          </w:tcPr>
          <w:p>
            <w:pPr>
              <w:pStyle w:val="TableContents"/>
              <w:bidi w:val="0"/>
              <w:spacing w:before="0" w:after="0"/>
              <w:ind w:left="0" w:right="0" w:hanging="0"/>
              <w:jc w:val="center"/>
              <w:rPr/>
            </w:pPr>
            <w:hyperlink w:anchor="ptwo">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legal">
              <w:r>
                <w:rPr>
                  <w:rStyle w:val="InternetLink"/>
                  <w:rFonts w:ascii="Times New Roman" w:hAnsi="Times New Roman"/>
                  <w:caps w:val="false"/>
                  <w:smallCaps w:val="false"/>
                  <w:sz w:val="20"/>
                  <w:u w:val="single"/>
                </w:rPr>
                <w:t>Item 1 – Legal Proceedings</w:t>
              </w:r>
            </w:hyperlink>
          </w:p>
        </w:tc>
        <w:tc>
          <w:tcPr>
            <w:tcW w:w="23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riskf">
              <w:r>
                <w:rPr>
                  <w:rStyle w:val="InternetLink"/>
                  <w:rFonts w:ascii="Times New Roman" w:hAnsi="Times New Roman"/>
                  <w:caps w:val="false"/>
                  <w:smallCaps w:val="false"/>
                  <w:sz w:val="20"/>
                  <w:u w:val="single"/>
                </w:rPr>
                <w:t>Item 1A – Risk Factors</w:t>
              </w:r>
            </w:hyperlink>
          </w:p>
        </w:tc>
        <w:tc>
          <w:tcPr>
            <w:tcW w:w="230" w:type="dxa"/>
            <w:tcBorders/>
            <w:vAlign w:val="center"/>
          </w:tcPr>
          <w:p>
            <w:pPr>
              <w:pStyle w:val="TableContents"/>
              <w:bidi w:val="0"/>
              <w:spacing w:before="0" w:after="0"/>
              <w:ind w:left="0" w:right="0" w:hanging="0"/>
              <w:jc w:val="center"/>
              <w:rPr/>
            </w:pPr>
            <w:hyperlink w:anchor="riskf">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unreg">
              <w:r>
                <w:rPr>
                  <w:rStyle w:val="InternetLink"/>
                  <w:rFonts w:ascii="Times New Roman" w:hAnsi="Times New Roman"/>
                  <w:caps w:val="false"/>
                  <w:smallCaps w:val="false"/>
                  <w:sz w:val="20"/>
                  <w:u w:val="single"/>
                </w:rPr>
                <w:t>Item 2 – Unregistered Sales of Equity Securities and Use of Proceeds</w:t>
              </w:r>
            </w:hyperlink>
          </w:p>
        </w:tc>
        <w:tc>
          <w:tcPr>
            <w:tcW w:w="230" w:type="dxa"/>
            <w:tcBorders/>
            <w:vAlign w:val="center"/>
          </w:tcPr>
          <w:p>
            <w:pPr>
              <w:pStyle w:val="TableContents"/>
              <w:bidi w:val="0"/>
              <w:spacing w:before="0" w:after="0"/>
              <w:ind w:left="0" w:right="0" w:hanging="0"/>
              <w:jc w:val="center"/>
              <w:rPr/>
            </w:pPr>
            <w:hyperlink w:anchor="unreg">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default">
              <w:r>
                <w:rPr>
                  <w:rStyle w:val="InternetLink"/>
                  <w:rFonts w:ascii="Times New Roman" w:hAnsi="Times New Roman"/>
                  <w:caps w:val="false"/>
                  <w:smallCaps w:val="false"/>
                  <w:sz w:val="20"/>
                  <w:u w:val="single"/>
                </w:rPr>
                <w:t>Item 3 – Defaults Upon Senior Securities</w:t>
              </w:r>
            </w:hyperlink>
          </w:p>
        </w:tc>
        <w:tc>
          <w:tcPr>
            <w:tcW w:w="230" w:type="dxa"/>
            <w:tcBorders/>
            <w:vAlign w:val="center"/>
          </w:tcPr>
          <w:p>
            <w:pPr>
              <w:pStyle w:val="TableContents"/>
              <w:bidi w:val="0"/>
              <w:spacing w:before="0" w:after="0"/>
              <w:ind w:left="0" w:right="0" w:hanging="0"/>
              <w:jc w:val="center"/>
              <w:rPr/>
            </w:pPr>
            <w:hyperlink w:anchor="default">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mine">
              <w:r>
                <w:rPr>
                  <w:rStyle w:val="InternetLink"/>
                  <w:rFonts w:ascii="Times New Roman" w:hAnsi="Times New Roman"/>
                  <w:caps w:val="false"/>
                  <w:smallCaps w:val="false"/>
                  <w:sz w:val="20"/>
                  <w:u w:val="single"/>
                </w:rPr>
                <w:t>Item 4 – Mine Safety Disclosures</w:t>
              </w:r>
            </w:hyperlink>
          </w:p>
        </w:tc>
        <w:tc>
          <w:tcPr>
            <w:tcW w:w="230" w:type="dxa"/>
            <w:tcBorders/>
            <w:vAlign w:val="center"/>
          </w:tcPr>
          <w:p>
            <w:pPr>
              <w:pStyle w:val="TableContents"/>
              <w:bidi w:val="0"/>
              <w:spacing w:before="0" w:after="0"/>
              <w:ind w:left="0" w:right="0" w:hanging="0"/>
              <w:jc w:val="center"/>
              <w:rPr/>
            </w:pPr>
            <w:hyperlink w:anchor="mine">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other">
              <w:r>
                <w:rPr>
                  <w:rStyle w:val="InternetLink"/>
                  <w:rFonts w:ascii="Times New Roman" w:hAnsi="Times New Roman"/>
                  <w:caps w:val="false"/>
                  <w:smallCaps w:val="false"/>
                  <w:sz w:val="20"/>
                  <w:u w:val="single"/>
                </w:rPr>
                <w:t>Item 5 – Other Information</w:t>
              </w:r>
            </w:hyperlink>
          </w:p>
        </w:tc>
        <w:tc>
          <w:tcPr>
            <w:tcW w:w="230" w:type="dxa"/>
            <w:tcBorders/>
            <w:vAlign w:val="center"/>
          </w:tcPr>
          <w:p>
            <w:pPr>
              <w:pStyle w:val="TableContents"/>
              <w:bidi w:val="0"/>
              <w:spacing w:before="0" w:after="0"/>
              <w:ind w:left="0" w:right="0" w:hanging="0"/>
              <w:jc w:val="center"/>
              <w:rPr/>
            </w:pPr>
            <w:hyperlink w:anchor="other">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exs">
              <w:r>
                <w:rPr>
                  <w:rStyle w:val="InternetLink"/>
                  <w:rFonts w:ascii="Times New Roman" w:hAnsi="Times New Roman"/>
                  <w:caps w:val="false"/>
                  <w:smallCaps w:val="false"/>
                  <w:sz w:val="20"/>
                  <w:u w:val="single"/>
                </w:rPr>
                <w:t>Item 6 – Exhibits</w:t>
              </w:r>
            </w:hyperlink>
          </w:p>
        </w:tc>
        <w:tc>
          <w:tcPr>
            <w:tcW w:w="230" w:type="dxa"/>
            <w:tcBorders/>
            <w:vAlign w:val="center"/>
          </w:tcPr>
          <w:p>
            <w:pPr>
              <w:pStyle w:val="TableContents"/>
              <w:bidi w:val="0"/>
              <w:spacing w:before="0" w:after="0"/>
              <w:ind w:left="0" w:right="0" w:hanging="0"/>
              <w:jc w:val="center"/>
              <w:rPr/>
            </w:pPr>
            <w:hyperlink w:anchor="exs">
              <w:r>
                <w:rPr>
                  <w:rStyle w:val="InternetLink"/>
                  <w:rFonts w:ascii="Times New Roman" w:hAnsi="Times New Roman"/>
                  <w:caps w:val="false"/>
                  <w:smallCaps w:val="false"/>
                  <w:sz w:val="20"/>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u w:val="single"/>
                </w:rPr>
                <w:t>Signatures</w:t>
              </w:r>
            </w:hyperlink>
          </w:p>
        </w:tc>
        <w:tc>
          <w:tcPr>
            <w:tcW w:w="230"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one"/>
      <w:bookmarkEnd w:id="3"/>
      <w:r>
        <w:rPr>
          <w:rFonts w:ascii="Times New Roman" w:hAnsi="Times New Roman"/>
          <w:b/>
          <w:caps w:val="false"/>
          <w:smallCaps w:val="false"/>
          <w:sz w:val="20"/>
        </w:rPr>
        <w:t>PART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INFORMATION</w:t>
      </w:r>
    </w:p>
    <w:p>
      <w:pPr>
        <w:pStyle w:val="TextBody"/>
        <w:bidi w:val="0"/>
        <w:spacing w:before="0" w:after="0"/>
        <w:ind w:left="0" w:right="0" w:hanging="0"/>
        <w:jc w:val="both"/>
        <w:rPr>
          <w:rFonts w:ascii="Times New Roman" w:hAnsi="Times New Roman"/>
          <w:caps w:val="false"/>
          <w:smallCaps w:val="false"/>
          <w:sz w:val="20"/>
        </w:rPr>
      </w:pPr>
      <w:bookmarkStart w:id="4" w:name="item1"/>
      <w:bookmarkEnd w:id="4"/>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als"/>
      <w:bookmarkEnd w:id="5"/>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par value and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2"/>
        <w:gridCol w:w="60"/>
        <w:gridCol w:w="151"/>
        <w:gridCol w:w="919"/>
        <w:gridCol w:w="80"/>
        <w:gridCol w:w="60"/>
        <w:gridCol w:w="146"/>
        <w:gridCol w:w="885"/>
        <w:gridCol w:w="82"/>
      </w:tblGrid>
      <w:tr>
        <w:trPr/>
        <w:tc>
          <w:tcPr>
            <w:tcW w:w="7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2" w:type="dxa"/>
            <w:tcBorders/>
            <w:vAlign w:val="center"/>
          </w:tcPr>
          <w:p>
            <w:pPr>
              <w:pStyle w:val="TableContents"/>
              <w:bidi w:val="0"/>
              <w:spacing w:before="0" w:after="283"/>
              <w:jc w:val="left"/>
              <w:rPr/>
            </w:pPr>
            <w:r>
              <w:rPr/>
              <w:t> </w:t>
            </w:r>
          </w:p>
        </w:tc>
      </w:tr>
      <w:tr>
        <w:trPr/>
        <w:tc>
          <w:tcPr>
            <w:tcW w:w="7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 term</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 term</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1,100,000,000 shares authorized; 917,285,149 and 917,285,149 shares issued and outstanding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288,270</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(278,253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2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subsidiary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29,140</w:t>
            </w:r>
          </w:p>
        </w:tc>
        <w:tc>
          <w:tcPr>
            <w:tcW w:w="82" w:type="dxa"/>
            <w:tcBorders/>
            <w:shd w:fill="FFFFFF" w:val="clear"/>
            <w:vAlign w:val="center"/>
          </w:tcPr>
          <w:p>
            <w:pPr>
              <w:pStyle w:val="TableContents"/>
              <w:bidi w:val="0"/>
              <w:spacing w:before="0" w:after="283"/>
              <w:jc w:val="left"/>
              <w:rPr/>
            </w:pPr>
            <w:r>
              <w:rPr/>
              <w:t> </w:t>
            </w:r>
          </w:p>
        </w:tc>
      </w:tr>
      <w:tr>
        <w:trPr/>
        <w:tc>
          <w:tcPr>
            <w:tcW w:w="7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unaudited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0"/>
        <w:gridCol w:w="60"/>
        <w:gridCol w:w="135"/>
        <w:gridCol w:w="1146"/>
        <w:gridCol w:w="86"/>
        <w:gridCol w:w="65"/>
        <w:gridCol w:w="135"/>
        <w:gridCol w:w="1146"/>
        <w:gridCol w:w="80"/>
        <w:gridCol w:w="60"/>
        <w:gridCol w:w="132"/>
        <w:gridCol w:w="1122"/>
        <w:gridCol w:w="85"/>
        <w:gridCol w:w="63"/>
        <w:gridCol w:w="132"/>
        <w:gridCol w:w="1122"/>
        <w:gridCol w:w="86"/>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6"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6" w:type="dxa"/>
            <w:tcBorders/>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w:t>
            </w:r>
          </w:p>
        </w:tc>
        <w:tc>
          <w:tcPr>
            <w:tcW w:w="86"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55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86"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basic and diluted:</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attributable to Liquidmetal Technologies shareholders,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weighted average shares - basic and diluted</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0"/>
        <w:gridCol w:w="60"/>
        <w:gridCol w:w="296"/>
        <w:gridCol w:w="396"/>
        <w:gridCol w:w="60"/>
        <w:gridCol w:w="60"/>
        <w:gridCol w:w="60"/>
        <w:gridCol w:w="920"/>
        <w:gridCol w:w="60"/>
        <w:gridCol w:w="60"/>
        <w:gridCol w:w="182"/>
        <w:gridCol w:w="483"/>
        <w:gridCol w:w="60"/>
        <w:gridCol w:w="60"/>
        <w:gridCol w:w="148"/>
        <w:gridCol w:w="703"/>
        <w:gridCol w:w="60"/>
        <w:gridCol w:w="60"/>
        <w:gridCol w:w="120"/>
        <w:gridCol w:w="665"/>
        <w:gridCol w:w="60"/>
        <w:gridCol w:w="60"/>
        <w:gridCol w:w="132"/>
        <w:gridCol w:w="803"/>
        <w:gridCol w:w="80"/>
        <w:gridCol w:w="60"/>
        <w:gridCol w:w="292"/>
        <w:gridCol w:w="775"/>
        <w:gridCol w:w="60"/>
        <w:gridCol w:w="60"/>
        <w:gridCol w:w="236"/>
        <w:gridCol w:w="560"/>
        <w:gridCol w:w="80"/>
        <w:gridCol w:w="60"/>
        <w:gridCol w:w="110"/>
        <w:gridCol w:w="515"/>
        <w:gridCol w:w="99"/>
      </w:tblGrid>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part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Non-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comprehensive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controlling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2024</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(278,253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29,140</w:t>
            </w:r>
          </w:p>
        </w:tc>
        <w:tc>
          <w:tcPr>
            <w:tcW w:w="99" w:type="dxa"/>
            <w:tcBorders/>
            <w:shd w:fill="CCEE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(1,645</w:t>
            </w:r>
          </w:p>
        </w:tc>
        <w:tc>
          <w:tcPr>
            <w:tcW w:w="9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gain</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99" w:type="dxa"/>
            <w:tcBorders/>
            <w:shd w:fill="FFFFFF" w:val="clear"/>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September 30, 2025 (unaudited)</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(279,897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27,727</w:t>
            </w:r>
          </w:p>
        </w:tc>
        <w:tc>
          <w:tcPr>
            <w:tcW w:w="99" w:type="dxa"/>
            <w:tcBorders/>
            <w:shd w:fill="FFFFFF" w:val="clear"/>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2023</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(276,743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92"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30,590</w:t>
            </w:r>
          </w:p>
        </w:tc>
        <w:tc>
          <w:tcPr>
            <w:tcW w:w="99" w:type="dxa"/>
            <w:tcBorders/>
            <w:shd w:fill="FFFFFF" w:val="clear"/>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(1,015</w:t>
            </w:r>
          </w:p>
        </w:tc>
        <w:tc>
          <w:tcPr>
            <w:tcW w:w="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w:t>
            </w:r>
          </w:p>
        </w:tc>
        <w:tc>
          <w:tcPr>
            <w:tcW w:w="99" w:type="dxa"/>
            <w:tcBorders/>
            <w:shd w:fill="FFFFFF" w:val="clear"/>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September 30, 2024 (unaudited)</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288,231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(277,757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346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29,836</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0"/>
        <w:gridCol w:w="60"/>
        <w:gridCol w:w="296"/>
        <w:gridCol w:w="396"/>
        <w:gridCol w:w="60"/>
        <w:gridCol w:w="60"/>
        <w:gridCol w:w="60"/>
        <w:gridCol w:w="920"/>
        <w:gridCol w:w="60"/>
        <w:gridCol w:w="60"/>
        <w:gridCol w:w="182"/>
        <w:gridCol w:w="483"/>
        <w:gridCol w:w="60"/>
        <w:gridCol w:w="60"/>
        <w:gridCol w:w="148"/>
        <w:gridCol w:w="703"/>
        <w:gridCol w:w="60"/>
        <w:gridCol w:w="60"/>
        <w:gridCol w:w="120"/>
        <w:gridCol w:w="665"/>
        <w:gridCol w:w="60"/>
        <w:gridCol w:w="60"/>
        <w:gridCol w:w="132"/>
        <w:gridCol w:w="803"/>
        <w:gridCol w:w="80"/>
        <w:gridCol w:w="60"/>
        <w:gridCol w:w="292"/>
        <w:gridCol w:w="775"/>
        <w:gridCol w:w="60"/>
        <w:gridCol w:w="60"/>
        <w:gridCol w:w="236"/>
        <w:gridCol w:w="560"/>
        <w:gridCol w:w="80"/>
        <w:gridCol w:w="60"/>
        <w:gridCol w:w="110"/>
        <w:gridCol w:w="515"/>
        <w:gridCol w:w="99"/>
      </w:tblGrid>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part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Non-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comprehensive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controlling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9"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2025 (unaudited)</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(279,345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28,199</w:t>
            </w:r>
          </w:p>
        </w:tc>
        <w:tc>
          <w:tcPr>
            <w:tcW w:w="99" w:type="dxa"/>
            <w:tcBorders/>
            <w:shd w:fill="CCEE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p>
        </w:tc>
        <w:tc>
          <w:tcPr>
            <w:tcW w:w="9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gain</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w:t>
            </w:r>
          </w:p>
        </w:tc>
        <w:tc>
          <w:tcPr>
            <w:tcW w:w="99" w:type="dxa"/>
            <w:tcBorders/>
            <w:shd w:fill="FFFFFF" w:val="clear"/>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September 30, 2025 (unaudited)</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(279,897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27,727</w:t>
            </w:r>
          </w:p>
        </w:tc>
        <w:tc>
          <w:tcPr>
            <w:tcW w:w="99" w:type="dxa"/>
            <w:tcBorders/>
            <w:shd w:fill="FFFFFF" w:val="clear"/>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2024 (unaudited)</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(277,316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30,074</w:t>
            </w:r>
          </w:p>
        </w:tc>
        <w:tc>
          <w:tcPr>
            <w:tcW w:w="99" w:type="dxa"/>
            <w:tcBorders/>
            <w:shd w:fill="CCEE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1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w:t>
            </w:r>
          </w:p>
        </w:tc>
        <w:tc>
          <w:tcPr>
            <w:tcW w:w="9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w:t>
            </w:r>
          </w:p>
        </w:tc>
        <w:tc>
          <w:tcPr>
            <w:tcW w:w="99" w:type="dxa"/>
            <w:tcBorders/>
            <w:shd w:fill="CCEE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1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September 30, 2024 (unaudited)</w:t>
            </w:r>
          </w:p>
        </w:tc>
        <w:tc>
          <w:tcPr>
            <w:tcW w:w="60" w:type="dxa"/>
            <w:tcBorders/>
            <w:shd w:fill="CCEEFF" w:val="clear"/>
            <w:vAlign w:val="center"/>
          </w:tcPr>
          <w:p>
            <w:pPr>
              <w:pStyle w:val="TableContents"/>
              <w:bidi w:val="0"/>
              <w:spacing w:before="0" w:after="283"/>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288,231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(277,757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29,836</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comp"/>
      <w:bookmarkEnd w:id="8"/>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5"/>
        <w:gridCol w:w="60"/>
        <w:gridCol w:w="257"/>
        <w:gridCol w:w="813"/>
        <w:gridCol w:w="164"/>
        <w:gridCol w:w="123"/>
        <w:gridCol w:w="257"/>
        <w:gridCol w:w="813"/>
        <w:gridCol w:w="80"/>
        <w:gridCol w:w="60"/>
        <w:gridCol w:w="205"/>
        <w:gridCol w:w="898"/>
        <w:gridCol w:w="131"/>
        <w:gridCol w:w="98"/>
        <w:gridCol w:w="205"/>
        <w:gridCol w:w="898"/>
        <w:gridCol w:w="88"/>
      </w:tblGrid>
      <w:tr>
        <w:trPr/>
        <w:tc>
          <w:tcPr>
            <w:tcW w:w="5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8" w:type="dxa"/>
            <w:tcBorders/>
            <w:vAlign w:val="center"/>
          </w:tcPr>
          <w:p>
            <w:pPr>
              <w:pStyle w:val="TableContents"/>
              <w:bidi w:val="0"/>
              <w:spacing w:before="0" w:after="283"/>
              <w:jc w:val="left"/>
              <w:rPr/>
            </w:pPr>
            <w:r>
              <w:rPr/>
              <w:t> </w:t>
            </w:r>
          </w:p>
        </w:tc>
      </w:tr>
      <w:tr>
        <w:trPr/>
        <w:tc>
          <w:tcPr>
            <w:tcW w:w="5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4"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1"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8" w:type="dxa"/>
            <w:tcBorders/>
            <w:vAlign w:val="center"/>
          </w:tcPr>
          <w:p>
            <w:pPr>
              <w:pStyle w:val="TableContents"/>
              <w:bidi w:val="0"/>
              <w:spacing w:before="0" w:after="283"/>
              <w:jc w:val="left"/>
              <w:rPr/>
            </w:pPr>
            <w:r>
              <w:rPr/>
              <w:t> </w:t>
            </w:r>
          </w:p>
        </w:tc>
      </w:tr>
      <w:tr>
        <w:trPr/>
        <w:tc>
          <w:tcPr>
            <w:tcW w:w="5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r>
      <w:tr>
        <w:trPr/>
        <w:tc>
          <w:tcPr>
            <w:tcW w:w="5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r>
      <w:tr>
        <w:trPr/>
        <w:tc>
          <w:tcPr>
            <w:tcW w:w="5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r>
      <w:tr>
        <w:trPr/>
        <w:tc>
          <w:tcPr>
            <w:tcW w:w="5055" w:type="dxa"/>
            <w:tcBorders/>
            <w:shd w:fill="FFFFFF" w:val="clear"/>
            <w:vAlign w:val="center"/>
          </w:tcPr>
          <w:p>
            <w:pPr>
              <w:pStyle w:val="TableContents"/>
              <w:bidi w:val="0"/>
              <w:spacing w:before="0" w:after="0"/>
              <w:ind w:left="0" w:right="0" w:firstLine="6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gains on available-for-sale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8" w:type="dxa"/>
            <w:tcBorders/>
            <w:shd w:fill="FFFFFF" w:val="clear"/>
            <w:vAlign w:val="center"/>
          </w:tcPr>
          <w:p>
            <w:pPr>
              <w:pStyle w:val="TableContents"/>
              <w:bidi w:val="0"/>
              <w:spacing w:before="0" w:after="283"/>
              <w:ind w:left="0" w:right="0" w:hanging="0"/>
              <w:jc w:val="left"/>
              <w:rPr/>
            </w:pPr>
            <w:r>
              <w:rPr/>
              <w:t> </w:t>
            </w:r>
          </w:p>
        </w:tc>
      </w:tr>
      <w:tr>
        <w:trPr/>
        <w:tc>
          <w:tcPr>
            <w:tcW w:w="5055" w:type="dxa"/>
            <w:tcBorders/>
            <w:shd w:fill="CCEEFF" w:val="clear"/>
            <w:vAlign w:val="center"/>
          </w:tcPr>
          <w:p>
            <w:pPr>
              <w:pStyle w:val="TableContents"/>
              <w:bidi w:val="0"/>
              <w:spacing w:before="0" w:after="0"/>
              <w:ind w:left="0" w:right="0" w:firstLine="6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ind w:left="0" w:right="0" w:hanging="0"/>
              <w:jc w:val="left"/>
              <w:rPr/>
            </w:pPr>
            <w:r>
              <w:rPr/>
              <w:t> </w:t>
            </w:r>
          </w:p>
        </w:tc>
      </w:tr>
      <w:tr>
        <w:trPr/>
        <w:tc>
          <w:tcPr>
            <w:tcW w:w="50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8" w:type="dxa"/>
            <w:tcBorders/>
            <w:shd w:fill="FFFFFF" w:val="clear"/>
            <w:vAlign w:val="center"/>
          </w:tcPr>
          <w:p>
            <w:pPr>
              <w:pStyle w:val="TableContents"/>
              <w:bidi w:val="0"/>
              <w:spacing w:before="0" w:after="283"/>
              <w:jc w:val="left"/>
              <w:rPr/>
            </w:pPr>
            <w:r>
              <w:rPr/>
              <w:t> </w:t>
            </w:r>
          </w:p>
        </w:tc>
      </w:tr>
      <w:tr>
        <w:trPr/>
        <w:tc>
          <w:tcPr>
            <w:tcW w:w="5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r>
      <w:tr>
        <w:trPr/>
        <w:tc>
          <w:tcPr>
            <w:tcW w:w="50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r>
      <w:tr>
        <w:trPr/>
        <w:tc>
          <w:tcPr>
            <w:tcW w:w="5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8" w:type="dxa"/>
            <w:tcBorders/>
            <w:shd w:fill="FFFFFF" w:val="clear"/>
            <w:vAlign w:val="center"/>
          </w:tcPr>
          <w:p>
            <w:pPr>
              <w:pStyle w:val="TableContents"/>
              <w:bidi w:val="0"/>
              <w:spacing w:before="0" w:after="283"/>
              <w:jc w:val="left"/>
              <w:rPr/>
            </w:pPr>
            <w:r>
              <w:rPr/>
              <w:t> </w:t>
            </w:r>
          </w:p>
        </w:tc>
      </w:tr>
      <w:tr>
        <w:trPr/>
        <w:tc>
          <w:tcPr>
            <w:tcW w:w="5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r>
      <w:tr>
        <w:trPr/>
        <w:tc>
          <w:tcPr>
            <w:tcW w:w="50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Liquidmetal Technologies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(503</w:t>
            </w:r>
          </w:p>
        </w:tc>
        <w:tc>
          <w:tcPr>
            <w:tcW w:w="16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(1,530</w:t>
            </w:r>
          </w:p>
        </w:tc>
        <w:tc>
          <w:tcPr>
            <w:tcW w:w="1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(858</w:t>
            </w:r>
          </w:p>
        </w:tc>
        <w:tc>
          <w:tcPr>
            <w:tcW w:w="8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
      <w:bookmarkEnd w:id="9"/>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342" w:type="dxa"/>
        <w:jc w:val="left"/>
        <w:tblInd w:w="0" w:type="dxa"/>
        <w:tblLayout w:type="fixed"/>
        <w:tblCellMar>
          <w:top w:w="0" w:type="dxa"/>
          <w:left w:w="0" w:type="dxa"/>
          <w:bottom w:w="0" w:type="dxa"/>
          <w:right w:w="0" w:type="dxa"/>
        </w:tblCellMar>
      </w:tblPr>
      <w:tblGrid>
        <w:gridCol w:w="6290"/>
        <w:gridCol w:w="60"/>
        <w:gridCol w:w="229"/>
        <w:gridCol w:w="1002"/>
        <w:gridCol w:w="147"/>
        <w:gridCol w:w="110"/>
        <w:gridCol w:w="229"/>
        <w:gridCol w:w="1195"/>
        <w:gridCol w:w="8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7"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investment gains (loss), net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investment gain, net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FFFF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and liabilities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(1,325</w:t>
            </w:r>
          </w:p>
        </w:tc>
        <w:tc>
          <w:tcPr>
            <w:tcW w:w="14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debt securities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debt securities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9,313</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3,804</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(3,812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8,490</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4,895</w:t>
            </w:r>
          </w:p>
        </w:tc>
        <w:tc>
          <w:tcPr>
            <w:tcW w:w="8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9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9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0" w:name="notes"/>
      <w:bookmarkEnd w:id="10"/>
      <w:r>
        <w:rPr>
          <w:rFonts w:ascii="Times New Roman" w:hAnsi="Times New Roman"/>
          <w:b/>
          <w:caps w:val="false"/>
          <w:smallCaps w:val="false"/>
          <w:sz w:val="20"/>
        </w:rPr>
        <w:t>LIQUIDMETAL TECHNOLOGIES, INC. AND SUBSIDIARIES</w:t>
      </w:r>
      <w:r>
        <w:rPr>
          <w:rFonts w:ascii="Times New Roman" w:hAnsi="Times New Roman"/>
          <w:caps w:val="false"/>
          <w:smallCaps w:val="false"/>
          <w:sz w:val="20"/>
        </w:rPr>
        <w:br/>
      </w:r>
      <w:r>
        <w:rPr>
          <w:rFonts w:ascii="Times New Roman" w:hAnsi="Times New Roman"/>
          <w:b/>
          <w:caps w:val="false"/>
          <w:smallCaps w:val="false"/>
          <w:sz w:val="20"/>
        </w:rPr>
        <w:t>NOTES TO UNAUDITED CONSOLIDATED FINANCIAL STATEMENTS</w:t>
      </w:r>
      <w:r>
        <w:rPr>
          <w:rFonts w:ascii="Times New Roman" w:hAnsi="Times New Roman"/>
          <w:caps w:val="false"/>
          <w:smallCaps w:val="false"/>
          <w:sz w:val="20"/>
        </w:rPr>
        <w:br/>
      </w:r>
      <w:r>
        <w:rPr>
          <w:rFonts w:ascii="Times New Roman" w:hAnsi="Times New Roman"/>
          <w:b/>
          <w:caps w:val="false"/>
          <w:smallCaps w:val="false"/>
          <w:sz w:val="20"/>
        </w:rPr>
        <w:t>For the Nine Months Ended September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(numbers in thousands, except percentages,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DESCRIPTION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Technologies, Inc. (the “Company”) is a materials technology company that works with manufacturing and commercial partners to develop and commercialize products made from proprietary amorphous alloys. The Company’s family of alloys consists of a variety of bulk alloys and composites that utilize the advantages offered by amorphous alloys technology. The Company designs, develops, and sells products and custom parts from bulk amorphous alloys to customers in a wide range of industries. The Company also partners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to select specific alloys to achieve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BASIS OF PRESENTATION AND 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unaudited interim consolidated financial statements as of and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have been prepared in accordance with accounting principles generally accepted in the United States of America (“US GAAP”) for interim financial information and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-Q.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any future periods or the year ending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accompanying unaudited consolidated financial statements should be read in conjunction with the Company's </w:t>
      </w:r>
      <w:r>
        <w:rPr>
          <w:rStyle w:val="Emphasis"/>
          <w:rFonts w:ascii="Times New Roman" w:hAnsi="Times New Roman"/>
          <w:caps w:val="false"/>
          <w:smallCaps w:val="false"/>
          <w:sz w:val="20"/>
        </w:rPr>
        <w:t>2024</w:t>
      </w:r>
      <w:r>
        <w:rPr>
          <w:rFonts w:ascii="Times New Roman" w:hAnsi="Times New Roman"/>
          <w:caps w:val="false"/>
          <w:smallCaps w:val="false"/>
          <w:sz w:val="20"/>
        </w:rPr>
        <w: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filed with the Securities and Exchange Commission (“SEC”) on </w:t>
      </w:r>
      <w:r>
        <w:rPr>
          <w:rStyle w:val="Emphasis"/>
          <w:rFonts w:ascii="Times New Roman" w:hAnsi="Times New Roman"/>
          <w:caps w:val="false"/>
          <w:smallCaps w:val="false"/>
          <w:sz w:val="20"/>
        </w:rPr>
        <w:t xml:space="preserve"> 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recognize any other-than-temporary impairment losses considered to be credit related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recognize any other-than-temporary impairment losses considered to be credit related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instruments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7" w:type="dxa"/>
        <w:tblLayout w:type="fixed"/>
        <w:tblCellMar>
          <w:top w:w="28" w:type="dxa"/>
          <w:left w:w="28" w:type="dxa"/>
          <w:bottom w:w="28" w:type="dxa"/>
          <w:right w:w="28" w:type="dxa"/>
        </w:tblCellMar>
      </w:tblPr>
      <w:tblGrid>
        <w:gridCol w:w="875"/>
        <w:gridCol w:w="5210"/>
      </w:tblGrid>
      <w:tr>
        <w:trPr/>
        <w:tc>
          <w:tcPr>
            <w:tcW w:w="8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 w:hAnsi="Times New Roman"/>
                <w:caps w:val="false"/>
                <w:smallCaps w:val="false"/>
                <w:sz w:val="20"/>
              </w:rPr>
              <w:t>Level </w:t>
            </w:r>
            <w:r>
              <w:rPr>
                <w:rStyle w:val="Emphasis"/>
                <w:rFonts w:ascii="Times New Roman" w:hAnsi="Times New Roman"/>
                <w:caps w:val="false"/>
                <w:smallCaps w:val="false"/>
                <w:sz w:val="20"/>
              </w:rPr>
              <w:t>1</w:t>
            </w:r>
            <w:r>
              <w:rPr>
                <w:rFonts w:ascii="Times New Roman" w:hAnsi="Times New Roman"/>
                <w:caps w:val="false"/>
                <w:smallCaps w:val="false"/>
                <w:sz w:val="20"/>
              </w:rPr>
              <w:t> —</w:t>
            </w:r>
          </w:p>
        </w:tc>
        <w:tc>
          <w:tcPr>
            <w:tcW w:w="5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75"/>
        <w:gridCol w:w="9330"/>
      </w:tblGrid>
      <w:tr>
        <w:trPr/>
        <w:tc>
          <w:tcPr>
            <w:tcW w:w="8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 w:hAnsi="Times New Roman"/>
                <w:caps w:val="false"/>
                <w:smallCaps w:val="false"/>
                <w:sz w:val="20"/>
              </w:rPr>
              <w:t>Level </w:t>
            </w:r>
            <w:r>
              <w:rPr>
                <w:rStyle w:val="Emphasis"/>
                <w:rFonts w:ascii="Times New Roman" w:hAnsi="Times New Roman"/>
                <w:caps w:val="false"/>
                <w:smallCaps w:val="false"/>
                <w:sz w:val="20"/>
              </w:rPr>
              <w:t>2</w:t>
            </w:r>
            <w:r>
              <w:rPr>
                <w:rFonts w:ascii="Times New Roman" w:hAnsi="Times New Roman"/>
                <w:caps w:val="false"/>
                <w:smallCaps w:val="false"/>
                <w:sz w:val="20"/>
              </w:rPr>
              <w:t> —</w:t>
            </w:r>
          </w:p>
        </w:tc>
        <w:tc>
          <w:tcPr>
            <w:tcW w:w="93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pPr>
            <w:r>
              <w:rPr>
                <w:rFonts w:ascii="Times New Roman" w:hAnsi="Times New Roman"/>
                <w:caps w:val="false"/>
                <w:smallCaps w:val="false"/>
                <w:sz w:val="20"/>
              </w:rPr>
              <w:t>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prices, such as quoted prices for similar assets or liabilities;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active; or other inputs that are observable or can be corroborated by observable market data for substantially the full term of the assets or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75"/>
        <w:gridCol w:w="9330"/>
      </w:tblGrid>
      <w:tr>
        <w:trPr/>
        <w:tc>
          <w:tcPr>
            <w:tcW w:w="8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 w:hAnsi="Times New Roman"/>
                <w:caps w:val="false"/>
                <w:smallCaps w:val="false"/>
                <w:sz w:val="20"/>
              </w:rPr>
              <w:t>Level </w:t>
            </w:r>
            <w:r>
              <w:rPr>
                <w:rStyle w:val="Emphasis"/>
                <w:rFonts w:ascii="Times New Roman" w:hAnsi="Times New Roman"/>
                <w:caps w:val="false"/>
                <w:smallCaps w:val="false"/>
                <w:sz w:val="20"/>
              </w:rPr>
              <w:t>3</w:t>
            </w:r>
            <w:r>
              <w:rPr>
                <w:rFonts w:ascii="Times New Roman" w:hAnsi="Times New Roman"/>
                <w:caps w:val="false"/>
                <w:smallCaps w:val="false"/>
                <w:sz w:val="20"/>
              </w:rPr>
              <w:t> —</w:t>
            </w:r>
          </w:p>
        </w:tc>
        <w:tc>
          <w:tcPr>
            <w:tcW w:w="93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pPr>
            <w:r>
              <w:rPr>
                <w:rFonts w:ascii="Times New Roman" w:hAnsi="Times New Roman"/>
                <w:caps w:val="false"/>
                <w:smallCaps w:val="false"/>
                <w:sz w:val="20"/>
              </w:rPr>
              <w:t>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681" w:type="dxa"/>
        <w:jc w:val="left"/>
        <w:tblInd w:w="-7" w:type="dxa"/>
        <w:tblLayout w:type="fixed"/>
        <w:tblCellMar>
          <w:top w:w="28" w:type="dxa"/>
          <w:left w:w="28" w:type="dxa"/>
          <w:bottom w:w="28" w:type="dxa"/>
          <w:right w:w="28" w:type="dxa"/>
        </w:tblCellMar>
      </w:tblPr>
      <w:tblGrid>
        <w:gridCol w:w="3410"/>
        <w:gridCol w:w="60"/>
        <w:gridCol w:w="191"/>
        <w:gridCol w:w="743"/>
        <w:gridCol w:w="60"/>
        <w:gridCol w:w="60"/>
        <w:gridCol w:w="127"/>
        <w:gridCol w:w="492"/>
        <w:gridCol w:w="60"/>
        <w:gridCol w:w="60"/>
        <w:gridCol w:w="127"/>
        <w:gridCol w:w="492"/>
        <w:gridCol w:w="60"/>
        <w:gridCol w:w="60"/>
        <w:gridCol w:w="377"/>
        <w:gridCol w:w="242"/>
        <w:gridCol w:w="60"/>
      </w:tblGrid>
      <w:tr>
        <w:trPr/>
        <w:tc>
          <w:tcPr>
            <w:tcW w:w="34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7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4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7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7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Style w:val="Emphasis"/>
          <w:rFonts w:ascii="Times New Roman" w:hAnsi="Times New Roman"/>
          <w:caps w:val="false"/>
          <w:smallCaps w:val="false"/>
          <w:sz w:val="20"/>
        </w:rPr>
        <w:t>363</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292" w:type="dxa"/>
        <w:jc w:val="left"/>
        <w:tblInd w:w="-7" w:type="dxa"/>
        <w:tblLayout w:type="fixed"/>
        <w:tblCellMar>
          <w:top w:w="28" w:type="dxa"/>
          <w:left w:w="28" w:type="dxa"/>
          <w:bottom w:w="28" w:type="dxa"/>
          <w:right w:w="28" w:type="dxa"/>
        </w:tblCellMar>
      </w:tblPr>
      <w:tblGrid>
        <w:gridCol w:w="3410"/>
        <w:gridCol w:w="60"/>
        <w:gridCol w:w="60"/>
        <w:gridCol w:w="485"/>
        <w:gridCol w:w="60"/>
        <w:gridCol w:w="60"/>
        <w:gridCol w:w="68"/>
        <w:gridCol w:w="551"/>
        <w:gridCol w:w="60"/>
        <w:gridCol w:w="60"/>
        <w:gridCol w:w="68"/>
        <w:gridCol w:w="551"/>
        <w:gridCol w:w="60"/>
        <w:gridCol w:w="60"/>
        <w:gridCol w:w="265"/>
        <w:gridCol w:w="354"/>
        <w:gridCol w:w="60"/>
      </w:tblGrid>
      <w:tr>
        <w:trPr/>
        <w:tc>
          <w:tcPr>
            <w:tcW w:w="34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160" w:right="0" w:hanging="0"/>
              <w:jc w:val="left"/>
              <w:rPr/>
            </w:pPr>
            <w:r>
              <w:rPr/>
              <w:t> </w:t>
            </w:r>
          </w:p>
        </w:tc>
        <w:tc>
          <w:tcPr>
            <w:tcW w:w="545"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16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16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16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48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54"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65"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65"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leases its manufacturing facility under a long-term contract, which is accounted for as an operating lease. The lease provides for a fixed base rent and variable payments comprised of reimbursements for property taxes, insurance, utilities, and common area maintenance. The lease has a term of 5 years ending on </w:t>
      </w:r>
      <w:r>
        <w:rPr>
          <w:rStyle w:val="Emphasis"/>
          <w:rFonts w:ascii="Times New Roman" w:hAnsi="Times New Roman"/>
          <w:caps w:val="false"/>
          <w:smallCaps w:val="false"/>
          <w:sz w:val="20"/>
        </w:rPr>
        <w:t xml:space="preserve">April 30, 2030. </w:t>
      </w:r>
      <w:r>
        <w:rPr>
          <w:rFonts w:ascii="Times New Roman" w:hAnsi="Times New Roman"/>
          <w:caps w:val="false"/>
          <w:smallCaps w:val="false"/>
          <w:sz w:val="20"/>
        </w:rPr>
        <w:t>In accordance with ASC </w:t>
      </w:r>
      <w:r>
        <w:rPr>
          <w:rStyle w:val="Emphasis"/>
          <w:rFonts w:ascii="Times New Roman" w:hAnsi="Times New Roman"/>
          <w:caps w:val="false"/>
          <w:smallCaps w:val="false"/>
          <w:sz w:val="20"/>
        </w:rPr>
        <w:t>842,</w:t>
      </w:r>
      <w:r>
        <w:rPr>
          <w:rFonts w:ascii="Times New Roman" w:hAnsi="Times New Roman"/>
          <w:caps w:val="false"/>
          <w:smallCaps w:val="false"/>
          <w:sz w:val="20"/>
        </w:rPr>
        <w:t> Leases, lease income, which includes escalating rents over the term of the lease, is recorded on a straight-line basis over the expected lease term. The difference between lease income and payments received is recorded as a rent receivable, which is included as a prepaid expense in the consolidated balance sheets. Amounts paid for broker commissions represent prepaid direct lease costs and will be amortized as an off-set to lease income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Foreign Currency Translation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operations in China. Accounting records in foreign operations are maintained in local currencies and remeasured to the US dollars during the consolidation. Nonmonetary assets and liabilities are translated at historical rates, and monetary assets and liabilities are translated at exchange rates in effect at the end of the year. Income statement accounts are translated at average rates for the year. Gains or losses from remeasurement of foreign currency financial statements into the US dollars are included in current results of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Other Recent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recent accounting pronouncements issued by the FASB (including its Emerging Issues Task Force) and the SEC did </w:t>
      </w:r>
      <w:r>
        <w:rPr>
          <w:rStyle w:val="Emphasis"/>
          <w:rFonts w:ascii="Times New Roman" w:hAnsi="Times New Roman"/>
          <w:caps w:val="false"/>
          <w:smallCaps w:val="false"/>
          <w:sz w:val="20"/>
        </w:rPr>
        <w:t>not</w:t>
      </w:r>
      <w:r>
        <w:rPr>
          <w:rFonts w:ascii="Times New Roman" w:hAnsi="Times New Roman"/>
          <w:caps w:val="false"/>
          <w:smallCaps w:val="false"/>
          <w:sz w:val="20"/>
        </w:rPr>
        <w:t> or are </w:t>
      </w:r>
      <w:r>
        <w:rPr>
          <w:rStyle w:val="Emphasis"/>
          <w:rFonts w:ascii="Times New Roman" w:hAnsi="Times New Roman"/>
          <w:caps w:val="false"/>
          <w:smallCaps w:val="false"/>
          <w:sz w:val="20"/>
        </w:rPr>
        <w:t>not</w:t>
      </w:r>
      <w:r>
        <w:rPr>
          <w:rFonts w:ascii="Times New Roman" w:hAnsi="Times New Roman"/>
          <w:caps w:val="false"/>
          <w:smallCaps w:val="false"/>
          <w:sz w:val="20"/>
        </w:rPr>
        <w:t> believed by management to have a material impact on the Company's present or future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Hangzhou Feifeng Liquidmetal Co., Ltd.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4, 2025, </w:t>
      </w:r>
      <w:r>
        <w:rPr>
          <w:rFonts w:ascii="Times New Roman" w:hAnsi="Times New Roman"/>
          <w:caps w:val="false"/>
          <w:smallCaps w:val="false"/>
          <w:sz w:val="20"/>
        </w:rPr>
        <w:t>Liquidmetal Asia Holdings Limited (“Liquidmetal Asia”), a Hong Kong based, wholly owned subsidiary of the Company,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will be owned 70% by Liquidmetal Asia and 30% by Mr. Liu and will be capitalized with $6.0 million USD of initial capital, of which $4.2 million has been contributed by Liquidmetal Asia, and $1.8 million will be contributed by Mr. Liu on or before </w:t>
      </w:r>
      <w:r>
        <w:rPr>
          <w:rStyle w:val="Emphasis"/>
          <w:rFonts w:ascii="Times New Roman" w:hAnsi="Times New Roman"/>
          <w:caps w:val="false"/>
          <w:smallCaps w:val="false"/>
          <w:sz w:val="20"/>
        </w:rPr>
        <w:t xml:space="preserve"> May 25,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 2022, </w:t>
      </w:r>
      <w:r>
        <w:rPr>
          <w:rFonts w:ascii="Times New Roman" w:hAnsi="Times New Roman"/>
          <w:caps w:val="false"/>
          <w:smallCaps w:val="false"/>
          <w:sz w:val="20"/>
        </w:rPr>
        <w:t>the Company entered into a manufacturing agreement (“Manufacturing Agreement”) with Dongguan Yihao Metal Materials Technology Co. Ltd. (“Yihao”) to become the primary contract manufacturer of the Company’s products. Under the Manufacturing Agreement, which has a term of </w:t>
      </w:r>
      <w:r>
        <w:rPr>
          <w:rStyle w:val="Emphasis"/>
          <w:rFonts w:ascii="Times New Roman" w:hAnsi="Times New Roman"/>
          <w:caps w:val="false"/>
          <w:smallCaps w:val="false"/>
          <w:sz w:val="20"/>
        </w:rPr>
        <w:t>five</w:t>
      </w:r>
      <w:r>
        <w:rPr>
          <w:rFonts w:ascii="Times New Roman" w:hAnsi="Times New Roman"/>
          <w:caps w:val="false"/>
          <w:smallCaps w:val="false"/>
          <w:sz w:val="20"/>
        </w:rPr>
        <w:t>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16, 2017, </w:t>
      </w:r>
      <w:r>
        <w:rPr>
          <w:rFonts w:ascii="Times New Roman" w:hAnsi="Times New Roman"/>
          <w:caps w:val="false"/>
          <w:smallCaps w:val="false"/>
          <w:sz w:val="20"/>
        </w:rPr>
        <w:t>the Company purchased a 41,000 square foot facility (the “Facility”) located in Lake Forest, CA, where operations commenced during  </w:t>
      </w:r>
      <w:r>
        <w:rPr>
          <w:rStyle w:val="Emphasis"/>
          <w:rFonts w:ascii="Times New Roman" w:hAnsi="Times New Roman"/>
          <w:caps w:val="false"/>
          <w:smallCaps w:val="false"/>
          <w:sz w:val="20"/>
        </w:rPr>
        <w:t xml:space="preserve"> July 2017. </w:t>
      </w:r>
      <w:r>
        <w:rPr>
          <w:rFonts w:ascii="Times New Roman" w:hAnsi="Times New Roman"/>
          <w:caps w:val="false"/>
          <w:smallCaps w:val="false"/>
          <w:sz w:val="20"/>
        </w:rPr>
        <w:t>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23, 2020, 20321</w:t>
      </w:r>
      <w:r>
        <w:rPr>
          <w:rFonts w:ascii="Times New Roman" w:hAnsi="Times New Roman"/>
          <w:caps w:val="false"/>
          <w:smallCaps w:val="false"/>
          <w:sz w:val="20"/>
        </w:rPr>
        <w:t> Valencia, LLC, a Delaware limited liability company and wholly owned subsidiary of the Company, entered into a lease agreement pursuant to which the Company leased to MatterHackers, Inc., a Delaware corporation (“Tenant”), an approximately 32,534 square foot portion of the Facility. The lease term was for 5 years and </w:t>
      </w:r>
      <w:r>
        <w:rPr>
          <w:rStyle w:val="Emphasis"/>
          <w:rFonts w:ascii="Times New Roman" w:hAnsi="Times New Roman"/>
          <w:caps w:val="false"/>
          <w:smallCaps w:val="false"/>
          <w:sz w:val="20"/>
        </w:rPr>
        <w:t>2</w:t>
      </w:r>
      <w:r>
        <w:rPr>
          <w:rFonts w:ascii="Times New Roman" w:hAnsi="Times New Roman"/>
          <w:caps w:val="false"/>
          <w:smallCaps w:val="false"/>
          <w:sz w:val="20"/>
        </w:rPr>
        <w:t> months and expired on  </w:t>
      </w:r>
      <w:r>
        <w:rPr>
          <w:rStyle w:val="Emphasis"/>
          <w:rFonts w:ascii="Times New Roman" w:hAnsi="Times New Roman"/>
          <w:caps w:val="false"/>
          <w:smallCaps w:val="false"/>
          <w:sz w:val="20"/>
        </w:rPr>
        <w:t xml:space="preserve"> April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26, 2025, </w:t>
      </w:r>
      <w:r>
        <w:rPr>
          <w:rFonts w:ascii="Times New Roman" w:hAnsi="Times New Roman"/>
          <w:caps w:val="false"/>
          <w:smallCaps w:val="false"/>
          <w:sz w:val="20"/>
        </w:rPr>
        <w:t xml:space="preserve">the Company entered into a new lease agreement (the “Facility Lease”) for a 5 year term commencing on </w:t>
      </w:r>
      <w:r>
        <w:rPr>
          <w:rStyle w:val="Emphasis"/>
          <w:rFonts w:ascii="Times New Roman" w:hAnsi="Times New Roman"/>
          <w:caps w:val="false"/>
          <w:smallCaps w:val="false"/>
          <w:sz w:val="20"/>
        </w:rPr>
        <w:t xml:space="preserve">May 1, 2025 </w:t>
      </w:r>
      <w:r>
        <w:rPr>
          <w:rFonts w:ascii="Times New Roman" w:hAnsi="Times New Roman"/>
          <w:caps w:val="false"/>
          <w:smallCaps w:val="false"/>
          <w:sz w:val="20"/>
        </w:rPr>
        <w:t xml:space="preserve">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the Company or Tenant the right to terminate the Facility Lease after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u w:val="single"/>
        </w:rPr>
        <w:t>2016</w:t>
      </w:r>
      <w:r>
        <w:rPr>
          <w:rFonts w:ascii="Times New Roman" w:hAnsi="Times New Roman"/>
          <w:caps w:val="false"/>
          <w:smallCaps w:val="false"/>
          <w:sz w:val="20"/>
          <w:u w:val="single"/>
        </w:rPr>
        <w:t> </w:t>
      </w:r>
      <w:r>
        <w:rPr>
          <w:rFonts w:ascii="Times New Roman" w:hAnsi="Times New Roman"/>
          <w:b/>
          <w:caps w:val="false"/>
          <w:smallCaps w:val="false"/>
          <w:sz w:val="20"/>
          <w:u w:val="single"/>
        </w:rPr>
        <w:t>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a Securities Purchase Agreement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a Hong Kong company (the “Investor”), which is controlled by the Company’s Chairman, Professor Li.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and the remaining 200,000,000 shares at $0.15 per share and 100,000,000 shares at $0.25 per share for an aggregate purchase price of $55,000 on  </w:t>
      </w:r>
      <w:r>
        <w:rPr>
          <w:rStyle w:val="Emphasis"/>
          <w:rFonts w:ascii="Times New Roman" w:hAnsi="Times New Roman"/>
          <w:caps w:val="false"/>
          <w:smallCaps w:val="false"/>
          <w:sz w:val="20"/>
        </w:rPr>
        <w:t xml:space="preserve"> October 26, 2016.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 xml:space="preserve">the Investor sold 179,787,888 to various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buyers leaving 225,212,112 shares of our common stock owned by the Investor as of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In addition to the shares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the Company issued to the Investor a warrant to acquire 10,066,809 shares of common stock at an exercise price of $0.07 per share. The warrant will expire on the tenth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the Company and DongGuan Eontec Co., Ltd., a Hong Kong corporation (“Eontec”), entered into a Parallel License Agreement (the “License Agreement”) pursuant to which the Company and Eontec agreed to perpetually cross-license their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31, 2020, </w:t>
      </w:r>
      <w:r>
        <w:rPr>
          <w:rFonts w:ascii="Times New Roman" w:hAnsi="Times New Roman"/>
          <w:caps w:val="false"/>
          <w:smallCaps w:val="false"/>
          <w:sz w:val="20"/>
        </w:rPr>
        <w:t xml:space="preserve">the Company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the Company licensed to Eutectix specified equipment owned by the Company and also licensed various patents and technical information related to the Company’s proprietary technology. The Agreement expired on </w:t>
      </w:r>
      <w:r>
        <w:rPr>
          <w:rStyle w:val="Emphasis"/>
          <w:rFonts w:ascii="Times New Roman" w:hAnsi="Times New Roman"/>
          <w:caps w:val="false"/>
          <w:smallCaps w:val="false"/>
          <w:sz w:val="20"/>
        </w:rPr>
        <w:t>January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5, 2010, </w:t>
      </w:r>
      <w:r>
        <w:rPr>
          <w:rFonts w:ascii="Times New Roman" w:hAnsi="Times New Roman"/>
          <w:caps w:val="false"/>
          <w:smallCaps w:val="false"/>
          <w:sz w:val="20"/>
        </w:rPr>
        <w:t>the Company entered into a license transaction with Apple Inc. (“Apple”) pursuant to which (i) the Company contributed substantially all of its intellectual property assets to a newly organized special-purpose, wholly-owned subsidiary, called Crucible Intellectual Property, LLC (“CIP”), (ii) CIP granted to Apple a perpetual, worldwide, exclusive license to commercialize such intellectual property in the field of consumer electronic products, as defined in the license agreement, in exchange for a </w:t>
      </w:r>
      <w:r>
        <w:rPr>
          <w:rStyle w:val="Emphasis"/>
          <w:rFonts w:ascii="Times New Roman" w:hAnsi="Times New Roman"/>
          <w:caps w:val="false"/>
          <w:smallCaps w:val="false"/>
          <w:sz w:val="20"/>
        </w:rPr>
        <w:t>one</w:t>
      </w:r>
      <w:r>
        <w:rPr>
          <w:rFonts w:ascii="Times New Roman" w:hAnsi="Times New Roman"/>
          <w:caps w:val="false"/>
          <w:smallCaps w:val="false"/>
          <w:sz w:val="20"/>
        </w:rPr>
        <w:t>-time, upfront license fee, and (iii) CIP granted back to the Company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Sublicense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w:t>
      </w:r>
      <w:r>
        <w:rPr>
          <w:rStyle w:val="Emphasis"/>
          <w:rFonts w:ascii="Times New Roman" w:hAnsi="Times New Roman"/>
          <w:caps w:val="false"/>
          <w:smallCaps w:val="false"/>
          <w:sz w:val="20"/>
        </w:rPr>
        <w:t xml:space="preserve"> January 1, 2002 </w:t>
      </w:r>
      <w:r>
        <w:rPr>
          <w:rFonts w:ascii="Times New Roman" w:hAnsi="Times New Roman"/>
          <w:caps w:val="false"/>
          <w:smallCaps w:val="false"/>
          <w:sz w:val="20"/>
        </w:rPr>
        <w:t>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13, 2022, </w:t>
      </w:r>
      <w:r>
        <w:rPr>
          <w:rFonts w:ascii="Times New Roman" w:hAnsi="Times New Roman"/>
          <w:caps w:val="false"/>
          <w:smallCaps w:val="false"/>
          <w:sz w:val="20"/>
        </w:rPr>
        <w:t>Liquidmetal Golf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the Company’s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March 2009, </w:t>
      </w:r>
      <w:r>
        <w:rPr>
          <w:rFonts w:ascii="Times New Roman" w:hAnsi="Times New Roman"/>
          <w:caps w:val="false"/>
          <w:smallCaps w:val="false"/>
          <w:sz w:val="20"/>
        </w:rPr>
        <w:t>the Company entered into a license agreement with Swatch Group, Ltd. (“Swatch”) under which Swatch was granted a non-exclusive license to the Company’s technology to produce and market watches and certain other luxury products. In  </w:t>
      </w:r>
      <w:r>
        <w:rPr>
          <w:rStyle w:val="Emphasis"/>
          <w:rFonts w:ascii="Times New Roman" w:hAnsi="Times New Roman"/>
          <w:caps w:val="false"/>
          <w:smallCaps w:val="false"/>
          <w:sz w:val="20"/>
        </w:rPr>
        <w:t xml:space="preserve"> March 2011, </w:t>
      </w:r>
      <w:r>
        <w:rPr>
          <w:rFonts w:ascii="Times New Roman" w:hAnsi="Times New Roman"/>
          <w:caps w:val="false"/>
          <w:smallCaps w:val="false"/>
          <w:sz w:val="20"/>
        </w:rPr>
        <w:t>this license agreement was amended to grant Swatch exclusive rights as to watches as against all </w:t>
      </w:r>
      <w:r>
        <w:rPr>
          <w:rStyle w:val="Emphasis"/>
          <w:rFonts w:ascii="Times New Roman" w:hAnsi="Times New Roman"/>
          <w:caps w:val="false"/>
          <w:smallCaps w:val="false"/>
          <w:sz w:val="20"/>
        </w:rPr>
        <w:t>third</w:t>
      </w:r>
      <w:r>
        <w:rPr>
          <w:rFonts w:ascii="Times New Roman" w:hAnsi="Times New Roman"/>
          <w:caps w:val="false"/>
          <w:smallCaps w:val="false"/>
          <w:sz w:val="20"/>
        </w:rPr>
        <w:t>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amortized cost fair value, and unrealized gains (losses) of investments in debt securities (short-term and long-term):</w:t>
      </w:r>
    </w:p>
    <w:p>
      <w:pPr>
        <w:pStyle w:val="TextBody"/>
        <w:bidi w:val="0"/>
        <w:spacing w:before="0" w:after="0"/>
        <w:ind w:left="0" w:right="0" w:hanging="0"/>
        <w:jc w:val="left"/>
        <w:rPr>
          <w:caps w:val="false"/>
          <w:smallCaps w:val="false"/>
        </w:rPr>
      </w:pPr>
      <w:r>
        <w:rPr>
          <w:caps w:val="false"/>
          <w:smallCaps w:val="false"/>
        </w:rPr>
        <w:t> </w:t>
      </w:r>
    </w:p>
    <w:tbl>
      <w:tblPr>
        <w:tblW w:w="9206" w:type="dxa"/>
        <w:jc w:val="left"/>
        <w:tblInd w:w="0" w:type="dxa"/>
        <w:tblLayout w:type="fixed"/>
        <w:tblCellMar>
          <w:top w:w="0" w:type="dxa"/>
          <w:left w:w="0" w:type="dxa"/>
          <w:bottom w:w="0" w:type="dxa"/>
          <w:right w:w="0" w:type="dxa"/>
        </w:tblCellMar>
      </w:tblPr>
      <w:tblGrid>
        <w:gridCol w:w="3155"/>
        <w:gridCol w:w="785"/>
        <w:gridCol w:w="60"/>
        <w:gridCol w:w="111"/>
        <w:gridCol w:w="1108"/>
        <w:gridCol w:w="60"/>
        <w:gridCol w:w="60"/>
        <w:gridCol w:w="107"/>
        <w:gridCol w:w="1067"/>
        <w:gridCol w:w="60"/>
        <w:gridCol w:w="60"/>
        <w:gridCol w:w="111"/>
        <w:gridCol w:w="1108"/>
        <w:gridCol w:w="60"/>
        <w:gridCol w:w="60"/>
        <w:gridCol w:w="107"/>
        <w:gridCol w:w="1067"/>
        <w:gridCol w:w="60"/>
      </w:tblGrid>
      <w:tr>
        <w:trPr/>
        <w:tc>
          <w:tcPr>
            <w:tcW w:w="3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Longest</w:t>
            </w:r>
          </w:p>
        </w:tc>
        <w:tc>
          <w:tcPr>
            <w:tcW w:w="60" w:type="dxa"/>
            <w:tcBorders/>
            <w:vAlign w:val="center"/>
          </w:tcPr>
          <w:p>
            <w:pPr>
              <w:pStyle w:val="TableContents"/>
              <w:bidi w:val="0"/>
              <w:spacing w:before="0" w:after="283"/>
              <w:ind w:left="0" w:right="0" w:hanging="0"/>
              <w:jc w:val="left"/>
              <w:rPr/>
            </w:pPr>
            <w:r>
              <w:rPr/>
              <w:t> </w:t>
            </w:r>
          </w:p>
        </w:tc>
        <w:tc>
          <w:tcPr>
            <w:tcW w:w="25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and agency securities</w:t>
            </w:r>
          </w:p>
        </w:tc>
        <w:tc>
          <w:tcPr>
            <w:tcW w:w="78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78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78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One-year</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Income from these investments totaled $191 and $601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respectively, and $259 and $775 during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respectively. Such amounts are included as a portion of interest and investment income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Based on the Company’s review of its debt securities that are individually in an unrealized loss position at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all investments are current on their scheduled interest and dividend payments.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intend to sell and it is </w:t>
      </w:r>
      <w:r>
        <w:rPr>
          <w:rStyle w:val="Emphasis"/>
          <w:rFonts w:ascii="Times New Roman" w:hAnsi="Times New Roman"/>
          <w:caps w:val="false"/>
          <w:smallCaps w:val="false"/>
          <w:sz w:val="20"/>
        </w:rPr>
        <w:t>not</w:t>
      </w:r>
      <w:r>
        <w:rPr>
          <w:rFonts w:ascii="Times New Roman" w:hAnsi="Times New Roman"/>
          <w:caps w:val="false"/>
          <w:smallCaps w:val="false"/>
          <w:sz w:val="20"/>
        </w:rPr>
        <w:t> likely that the Company will be required to sell these securities prior to recovering their amortized cost. As such,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consider these securities to be other-than-temporarily impaired as of </w:t>
      </w:r>
      <w:r>
        <w:rPr>
          <w:rStyle w:val="Emphasis"/>
          <w:rFonts w:ascii="Times New Roman" w:hAnsi="Times New Roman"/>
          <w:caps w:val="false"/>
          <w:smallCaps w:val="false"/>
          <w:sz w:val="20"/>
        </w:rPr>
        <w:t xml:space="preserve">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in debt securities activities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60"/>
        <w:gridCol w:w="220"/>
        <w:gridCol w:w="1042"/>
        <w:gridCol w:w="141"/>
        <w:gridCol w:w="105"/>
        <w:gridCol w:w="220"/>
        <w:gridCol w:w="1149"/>
        <w:gridCol w:w="80"/>
        <w:gridCol w:w="60"/>
        <w:gridCol w:w="211"/>
        <w:gridCol w:w="1002"/>
        <w:gridCol w:w="135"/>
        <w:gridCol w:w="101"/>
        <w:gridCol w:w="211"/>
        <w:gridCol w:w="1104"/>
        <w:gridCol w:w="90"/>
      </w:tblGrid>
      <w:tr>
        <w:trPr/>
        <w:tc>
          <w:tcPr>
            <w:tcW w:w="4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90"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0"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r>
      <w:tr>
        <w:trPr/>
        <w:tc>
          <w:tcPr>
            <w:tcW w:w="42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w:t>
            </w:r>
          </w:p>
        </w:tc>
        <w:tc>
          <w:tcPr>
            <w:tcW w:w="14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w:t>
            </w:r>
          </w:p>
        </w:tc>
        <w:tc>
          <w:tcPr>
            <w:tcW w:w="90" w:type="dxa"/>
            <w:tcBorders/>
            <w:shd w:fill="CCEEFF" w:val="clear"/>
            <w:vAlign w:val="center"/>
          </w:tcPr>
          <w:p>
            <w:pPr>
              <w:pStyle w:val="TableContents"/>
              <w:bidi w:val="0"/>
              <w:spacing w:before="0" w:after="283"/>
              <w:ind w:left="0" w:right="0" w:hanging="0"/>
              <w:jc w:val="left"/>
              <w:rPr/>
            </w:pPr>
            <w:r>
              <w:rPr/>
              <w:t> </w:t>
            </w:r>
          </w:p>
        </w:tc>
      </w:tr>
      <w:tr>
        <w:trPr/>
        <w:tc>
          <w:tcPr>
            <w:tcW w:w="42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41"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15,032</w:t>
            </w:r>
          </w:p>
        </w:tc>
        <w:tc>
          <w:tcPr>
            <w:tcW w:w="90" w:type="dxa"/>
            <w:tcBorders/>
            <w:shd w:fill="FFFFFF" w:val="clear"/>
            <w:vAlign w:val="center"/>
          </w:tcPr>
          <w:p>
            <w:pPr>
              <w:pStyle w:val="TableContents"/>
              <w:bidi w:val="0"/>
              <w:spacing w:before="0" w:after="283"/>
              <w:ind w:left="0" w:right="0" w:hanging="0"/>
              <w:jc w:val="left"/>
              <w:rPr/>
            </w:pPr>
            <w:r>
              <w:rPr/>
              <w:t> </w:t>
            </w:r>
          </w:p>
        </w:tc>
      </w:tr>
      <w:tr>
        <w:trPr/>
        <w:tc>
          <w:tcPr>
            <w:tcW w:w="42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at cost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(9,324</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(11,556</w:t>
            </w:r>
          </w:p>
        </w:tc>
        <w:tc>
          <w:tcPr>
            <w:tcW w:w="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 from sale of investment in debt securities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41"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90" w:type="dxa"/>
            <w:tcBorders/>
            <w:shd w:fill="FFFFFF" w:val="clear"/>
            <w:vAlign w:val="center"/>
          </w:tcPr>
          <w:p>
            <w:pPr>
              <w:pStyle w:val="TableContents"/>
              <w:bidi w:val="0"/>
              <w:spacing w:before="0" w:after="283"/>
              <w:ind w:left="0" w:right="0" w:hanging="0"/>
              <w:jc w:val="left"/>
              <w:rPr/>
            </w:pPr>
            <w:r>
              <w:rPr/>
              <w:t> </w:t>
            </w:r>
          </w:p>
        </w:tc>
      </w:tr>
      <w:tr>
        <w:trPr/>
        <w:tc>
          <w:tcPr>
            <w:tcW w:w="42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4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0" w:type="dxa"/>
            <w:tcBorders/>
            <w:shd w:fill="CCEEFF" w:val="clear"/>
            <w:vAlign w:val="center"/>
          </w:tcPr>
          <w:p>
            <w:pPr>
              <w:pStyle w:val="TableContents"/>
              <w:bidi w:val="0"/>
              <w:spacing w:before="0" w:after="283"/>
              <w:ind w:left="0" w:right="0" w:hanging="0"/>
              <w:jc w:val="left"/>
              <w:rPr/>
            </w:pPr>
            <w:r>
              <w:rPr/>
              <w:t> </w:t>
            </w:r>
          </w:p>
        </w:tc>
      </w:tr>
      <w:tr>
        <w:trPr/>
        <w:tc>
          <w:tcPr>
            <w:tcW w:w="42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41"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90" w:type="dxa"/>
            <w:tcBorders/>
            <w:shd w:fill="FFFFFF" w:val="clear"/>
            <w:vAlign w:val="center"/>
          </w:tcPr>
          <w:p>
            <w:pPr>
              <w:pStyle w:val="TableContents"/>
              <w:bidi w:val="0"/>
              <w:spacing w:before="0" w:after="283"/>
              <w:ind w:left="0" w:right="0" w:hanging="0"/>
              <w:jc w:val="left"/>
              <w:rPr/>
            </w:pPr>
            <w:r>
              <w:rPr/>
              <w:t> </w:t>
            </w:r>
          </w:p>
        </w:tc>
      </w:tr>
      <w:tr>
        <w:trPr/>
        <w:tc>
          <w:tcPr>
            <w:tcW w:w="42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management fees and other fees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Withdrawals from debt securities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w:t>
            </w:r>
          </w:p>
        </w:tc>
        <w:tc>
          <w:tcPr>
            <w:tcW w:w="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ending balance</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w:t>
            </w:r>
          </w:p>
        </w:tc>
        <w:tc>
          <w:tcPr>
            <w:tcW w:w="14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18,064</w:t>
            </w:r>
          </w:p>
        </w:tc>
        <w:tc>
          <w:tcPr>
            <w:tcW w:w="90" w:type="dxa"/>
            <w:tcBorders/>
            <w:shd w:fill="CCEEFF" w:val="clear"/>
            <w:vAlign w:val="center"/>
          </w:tcPr>
          <w:p>
            <w:pPr>
              <w:pStyle w:val="TableContents"/>
              <w:bidi w:val="0"/>
              <w:spacing w:before="0" w:after="283"/>
              <w:ind w:left="0" w:right="0" w:hanging="0"/>
              <w:jc w:val="left"/>
              <w:rPr/>
            </w:pPr>
            <w:r>
              <w:rPr/>
              <w:t> </w:t>
            </w:r>
          </w:p>
        </w:tc>
      </w:tr>
      <w:tr>
        <w:trPr/>
        <w:tc>
          <w:tcPr>
            <w:tcW w:w="42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 current portion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(5,563</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(5,563</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(11,696</w:t>
            </w:r>
          </w:p>
        </w:tc>
        <w:tc>
          <w:tcPr>
            <w:tcW w:w="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7,053</w:t>
            </w:r>
          </w:p>
        </w:tc>
        <w:tc>
          <w:tcPr>
            <w:tcW w:w="14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7,053</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6,368</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5.</w:t>
      </w:r>
      <w:r>
        <w:rPr>
          <w:rFonts w:ascii="Times New Roman;Times;serif" w:hAnsi="Times New Roman;Times;serif"/>
          <w:sz w:val="20"/>
        </w:rPr>
        <w:t> </w:t>
      </w:r>
      <w:r>
        <w:rPr>
          <w:rFonts w:ascii="Times New Roman;Times;serif" w:hAnsi="Times New Roman;Times;serif"/>
          <w:b/>
          <w:sz w:val="20"/>
        </w:rPr>
        <w:t>TRADE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 accounts receivable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4468" w:type="dxa"/>
        <w:jc w:val="left"/>
        <w:tblInd w:w="0" w:type="dxa"/>
        <w:tblLayout w:type="fixed"/>
        <w:tblCellMar>
          <w:top w:w="0" w:type="dxa"/>
          <w:left w:w="0" w:type="dxa"/>
          <w:bottom w:w="0" w:type="dxa"/>
          <w:right w:w="0" w:type="dxa"/>
        </w:tblCellMar>
      </w:tblPr>
      <w:tblGrid>
        <w:gridCol w:w="1745"/>
        <w:gridCol w:w="60"/>
        <w:gridCol w:w="444"/>
        <w:gridCol w:w="820"/>
        <w:gridCol w:w="60"/>
        <w:gridCol w:w="60"/>
        <w:gridCol w:w="429"/>
        <w:gridCol w:w="790"/>
        <w:gridCol w:w="6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 allowance</w:t>
            </w:r>
          </w:p>
        </w:tc>
        <w:tc>
          <w:tcPr>
            <w:tcW w:w="60" w:type="dxa"/>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1620" w:right="0" w:hanging="0"/>
              <w:jc w:val="left"/>
              <w:rPr/>
            </w:pPr>
            <w:r>
              <w:rPr/>
              <w:t> </w:t>
            </w:r>
          </w:p>
        </w:tc>
      </w:tr>
      <w:tr>
        <w:trPr/>
        <w:tc>
          <w:tcPr>
            <w:tcW w:w="1745" w:type="dxa"/>
            <w:tcBorders/>
            <w:shd w:fill="CCEEFF" w:val="clear"/>
            <w:vAlign w:val="center"/>
          </w:tcPr>
          <w:p>
            <w:pPr>
              <w:pStyle w:val="TableContents"/>
              <w:bidi w:val="0"/>
              <w:spacing w:before="0" w:after="0"/>
              <w:ind w:left="3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755"/>
        <w:gridCol w:w="60"/>
        <w:gridCol w:w="343"/>
        <w:gridCol w:w="921"/>
        <w:gridCol w:w="60"/>
        <w:gridCol w:w="60"/>
        <w:gridCol w:w="330"/>
        <w:gridCol w:w="889"/>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service invoices</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 premiums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lease costs and receivables- short term</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receivables</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4123" w:type="dxa"/>
        <w:jc w:val="left"/>
        <w:tblInd w:w="0" w:type="dxa"/>
        <w:tblLayout w:type="fixed"/>
        <w:tblCellMar>
          <w:top w:w="0" w:type="dxa"/>
          <w:left w:w="0" w:type="dxa"/>
          <w:bottom w:w="0" w:type="dxa"/>
          <w:right w:w="0" w:type="dxa"/>
        </w:tblCellMar>
      </w:tblPr>
      <w:tblGrid>
        <w:gridCol w:w="1400"/>
        <w:gridCol w:w="60"/>
        <w:gridCol w:w="770"/>
        <w:gridCol w:w="494"/>
        <w:gridCol w:w="60"/>
        <w:gridCol w:w="60"/>
        <w:gridCol w:w="429"/>
        <w:gridCol w:w="790"/>
        <w:gridCol w:w="6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progress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ind w:left="1620" w:right="0" w:hanging="0"/>
              <w:jc w:val="left"/>
              <w:rPr/>
            </w:pPr>
            <w:r>
              <w:rPr/>
              <w:t> </w:t>
            </w:r>
          </w:p>
        </w:tc>
      </w:tr>
      <w:tr>
        <w:trPr/>
        <w:tc>
          <w:tcPr>
            <w:tcW w:w="1400" w:type="dxa"/>
            <w:tcBorders/>
            <w:shd w:fill="FFFFFF" w:val="clear"/>
            <w:vAlign w:val="center"/>
          </w:tcPr>
          <w:p>
            <w:pPr>
              <w:pStyle w:val="TableContents"/>
              <w:bidi w:val="0"/>
              <w:spacing w:before="0" w:after="0"/>
              <w:ind w:left="3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4025"/>
        <w:gridCol w:w="60"/>
        <w:gridCol w:w="221"/>
        <w:gridCol w:w="1043"/>
        <w:gridCol w:w="80"/>
        <w:gridCol w:w="60"/>
        <w:gridCol w:w="211"/>
        <w:gridCol w:w="1008"/>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building,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 furnishings, and improvements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w:t>
            </w:r>
          </w:p>
        </w:tc>
        <w:tc>
          <w:tcPr>
            <w:tcW w:w="80" w:type="dxa"/>
            <w:tcBorders/>
            <w:shd w:fill="FFFFFF" w:val="clear"/>
            <w:vAlign w:val="center"/>
          </w:tcPr>
          <w:p>
            <w:pPr>
              <w:pStyle w:val="TableContents"/>
              <w:bidi w:val="0"/>
              <w:spacing w:before="0" w:after="283"/>
              <w:ind w:left="162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3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Depreciation expense were $78 and $233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 </w:t>
      </w:r>
      <w:r>
        <w:rPr>
          <w:rFonts w:ascii="Times New Roman" w:hAnsi="Times New Roman"/>
          <w:caps w:val="false"/>
          <w:smallCaps w:val="false"/>
          <w:sz w:val="20"/>
        </w:rPr>
        <w:t>respectively, and were $78 and $233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respectively. Such amounts were included in selling, marketing, general, and administrative expenses within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PATENTS AND TRADEMARKS,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Patents and trademarks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2975"/>
        <w:gridCol w:w="60"/>
        <w:gridCol w:w="235"/>
        <w:gridCol w:w="1029"/>
        <w:gridCol w:w="80"/>
        <w:gridCol w:w="60"/>
        <w:gridCol w:w="227"/>
        <w:gridCol w:w="992"/>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and licensed patent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Internally developed patents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p>
        </w:tc>
        <w:tc>
          <w:tcPr>
            <w:tcW w:w="80" w:type="dxa"/>
            <w:tcBorders/>
            <w:shd w:fill="CCEEFF" w:val="clear"/>
            <w:vAlign w:val="center"/>
          </w:tcPr>
          <w:p>
            <w:pPr>
              <w:pStyle w:val="TableContents"/>
              <w:bidi w:val="0"/>
              <w:spacing w:before="0" w:after="283"/>
              <w:ind w:left="1620" w:right="0" w:hanging="0"/>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3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w:t>
      </w:r>
      <w:r>
        <w:rPr>
          <w:rStyle w:val="Emphasis"/>
          <w:rFonts w:ascii="Times New Roman" w:hAnsi="Times New Roman"/>
          <w:caps w:val="false"/>
          <w:smallCaps w:val="false"/>
          <w:sz w:val="20"/>
        </w:rPr>
        <w:t>no</w:t>
      </w:r>
      <w:r>
        <w:rPr>
          <w:rFonts w:ascii="Times New Roman" w:hAnsi="Times New Roman"/>
          <w:caps w:val="false"/>
          <w:smallCaps w:val="false"/>
          <w:sz w:val="20"/>
        </w:rPr>
        <w:t> further royalties, license fees, or other amounts will be payable in the future under the license agreement. 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amortizes capitalized patents and trademarks over an average of 10-to-17-year periods. Amortization expense for patents and trademarks was $4 and $11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 xml:space="preserve">respectively, and $4 and $13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4003" w:type="dxa"/>
        <w:jc w:val="left"/>
        <w:tblInd w:w="0" w:type="dxa"/>
        <w:tblLayout w:type="fixed"/>
        <w:tblCellMar>
          <w:top w:w="0" w:type="dxa"/>
          <w:left w:w="0" w:type="dxa"/>
          <w:bottom w:w="0" w:type="dxa"/>
          <w:right w:w="0" w:type="dxa"/>
        </w:tblCellMar>
      </w:tblPr>
      <w:tblGrid>
        <w:gridCol w:w="1280"/>
        <w:gridCol w:w="60"/>
        <w:gridCol w:w="444"/>
        <w:gridCol w:w="820"/>
        <w:gridCol w:w="60"/>
        <w:gridCol w:w="60"/>
        <w:gridCol w:w="429"/>
        <w:gridCol w:w="790"/>
        <w:gridCol w:w="6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Utility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1620" w:right="0" w:hanging="0"/>
              <w:jc w:val="left"/>
              <w:rPr/>
            </w:pPr>
            <w:r>
              <w:rPr/>
              <w:t> </w:t>
            </w:r>
          </w:p>
        </w:tc>
      </w:tr>
      <w:tr>
        <w:trPr/>
        <w:tc>
          <w:tcPr>
            <w:tcW w:w="1280" w:type="dxa"/>
            <w:tcBorders/>
            <w:shd w:fill="CCEEFF" w:val="clear"/>
            <w:vAlign w:val="center"/>
          </w:tcPr>
          <w:p>
            <w:pPr>
              <w:pStyle w:val="TableContents"/>
              <w:bidi w:val="0"/>
              <w:spacing w:before="0" w:after="0"/>
              <w:ind w:left="3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liabilities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3215"/>
        <w:gridCol w:w="60"/>
        <w:gridCol w:w="343"/>
        <w:gridCol w:w="921"/>
        <w:gridCol w:w="60"/>
        <w:gridCol w:w="60"/>
        <w:gridCol w:w="330"/>
        <w:gridCol w:w="889"/>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vacation, and bonuses</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audit fees</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OTHER CURRENT LIABILITIES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long-term liabilities was $902 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and consisted of $859 of long-term, aged payables to vendors, individuals,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parties that have been outstanding for more than 5 years. Also included in the balance is $43 in tenant deposits under the Facility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STOCK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2012, </w:t>
      </w:r>
      <w:r>
        <w:rPr>
          <w:rFonts w:ascii="Times New Roman" w:hAnsi="Times New Roman"/>
          <w:caps w:val="false"/>
          <w:smallCaps w:val="false"/>
          <w:sz w:val="20"/>
        </w:rPr>
        <w:t xml:space="preserve">the Company adopted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with the approval of the shareholders, which provided for the grant of stock options to officers, employees, consultants and directors of the Company and its subsidiaries. Under this plan, the Company had outstanding grants of options to purchase 2,432,500 and 3,073,000 shares of the Company’s common stock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June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2015, </w:t>
      </w:r>
      <w:r>
        <w:rPr>
          <w:rFonts w:ascii="Times New Roman" w:hAnsi="Times New Roman"/>
          <w:caps w:val="false"/>
          <w:smallCaps w:val="false"/>
          <w:sz w:val="20"/>
        </w:rPr>
        <w:t xml:space="preserve">the Company adopted its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which provided for the grant of stock options to officers, employees, consultants and directors of the Company and its subsidiaries. A total of 40,000,000 shares of the Company’s common stock were available for issuance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All options granted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had exercise prices that were equal to the fair market value on the dates of grant. Under this plan, the Company had outstanding grants of options to purchase 37,361,667 and 23,511,667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January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FASB ASC </w:t>
      </w:r>
      <w:r>
        <w:rPr>
          <w:rStyle w:val="Emphasis"/>
          <w:rFonts w:ascii="Times New Roman" w:hAnsi="Times New Roman"/>
          <w:caps w:val="false"/>
          <w:smallCaps w:val="false"/>
          <w:sz w:val="20"/>
        </w:rPr>
        <w:t>718,</w:t>
      </w:r>
      <w:r>
        <w:rPr>
          <w:rFonts w:ascii="Times New Roman" w:hAnsi="Times New Roman"/>
          <w:caps w:val="false"/>
          <w:smallCaps w:val="false"/>
          <w:sz w:val="20"/>
        </w:rPr>
        <w:t> Compensation – Stock Compensation, requires all share-based payments to employees, including grants of employee stock options, to be recognized in the financial statements based on their fair values. Under ASC </w:t>
      </w:r>
      <w:r>
        <w:rPr>
          <w:rStyle w:val="Emphasis"/>
          <w:rFonts w:ascii="Times New Roman" w:hAnsi="Times New Roman"/>
          <w:caps w:val="false"/>
          <w:smallCaps w:val="false"/>
          <w:sz w:val="20"/>
        </w:rPr>
        <w:t>718,</w:t>
      </w:r>
      <w:r>
        <w:rPr>
          <w:rFonts w:ascii="Times New Roman" w:hAnsi="Times New Roman"/>
          <w:caps w:val="false"/>
          <w:smallCaps w:val="false"/>
          <w:sz w:val="20"/>
        </w:rPr>
        <w:t>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Stock based compensation expense attributable to these plans was $31 and $118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respectively, and $42 and $105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w:t>
      </w:r>
      <w:r>
        <w:rPr>
          <w:rStyle w:val="Emphasis"/>
          <w:rFonts w:ascii="Times New Roman" w:hAnsi="Times New Roman"/>
          <w:caps w:val="false"/>
          <w:smallCaps w:val="false"/>
          <w:sz w:val="20"/>
        </w:rPr>
        <w:t>five</w:t>
      </w:r>
      <w:r>
        <w:rPr>
          <w:rFonts w:ascii="Times New Roman" w:hAnsi="Times New Roman"/>
          <w:caps w:val="false"/>
          <w:smallCaps w:val="false"/>
          <w:sz w:val="20"/>
        </w:rPr>
        <w:t>-year period. The risk-free rate used for the period within the expected life of the options is based on U.S. Treasury rates in effect at the time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FACILITY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future minimum rents due to the Company under the Facility Lease are as follows:</w:t>
      </w:r>
    </w:p>
    <w:p>
      <w:pPr>
        <w:pStyle w:val="TextBody"/>
        <w:bidi w:val="0"/>
        <w:spacing w:before="0" w:after="0"/>
        <w:ind w:left="0" w:right="0" w:hanging="0"/>
        <w:jc w:val="left"/>
        <w:rPr>
          <w:caps w:val="false"/>
          <w:smallCaps w:val="false"/>
        </w:rPr>
      </w:pPr>
      <w:r>
        <w:rPr>
          <w:caps w:val="false"/>
          <w:smallCaps w:val="false"/>
        </w:rPr>
        <w:t> </w:t>
      </w:r>
    </w:p>
    <w:tbl>
      <w:tblPr>
        <w:tblW w:w="3579" w:type="dxa"/>
        <w:jc w:val="left"/>
        <w:tblInd w:w="-7" w:type="dxa"/>
        <w:tblLayout w:type="fixed"/>
        <w:tblCellMar>
          <w:top w:w="28" w:type="dxa"/>
          <w:left w:w="28" w:type="dxa"/>
          <w:bottom w:w="28" w:type="dxa"/>
          <w:right w:w="28" w:type="dxa"/>
        </w:tblCellMar>
      </w:tblPr>
      <w:tblGrid>
        <w:gridCol w:w="2525"/>
        <w:gridCol w:w="60"/>
        <w:gridCol w:w="191"/>
        <w:gridCol w:w="743"/>
        <w:gridCol w:w="60"/>
      </w:tblGrid>
      <w:tr>
        <w:trPr/>
        <w:tc>
          <w:tcPr>
            <w:tcW w:w="25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Base Rents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(remaining three months)</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to purchase </w:t>
      </w:r>
      <w:r>
        <w:rPr>
          <w:rStyle w:val="Emphasis"/>
          <w:rFonts w:ascii="Times New Roman" w:hAnsi="Times New Roman"/>
          <w:caps w:val="false"/>
          <w:smallCaps w:val="false"/>
          <w:sz w:val="20"/>
        </w:rPr>
        <w:t>39,794,167shares</w:t>
      </w:r>
      <w:r>
        <w:rPr>
          <w:rFonts w:ascii="Times New Roman" w:hAnsi="Times New Roman"/>
          <w:caps w:val="false"/>
          <w:smallCaps w:val="false"/>
          <w:sz w:val="20"/>
        </w:rPr>
        <w:t xml:space="preserve"> of common stock at prices ranging from $0.05 to $0.38 per share were outstanding at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Options to purchase 26,584,667 shares of common stock at prices ranging from $0.05 to $0.38 per share were outstanding at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Warrants to purchase 10,066,809 shares of common stock, priced at $0.07 per share, outstanding at each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September 30, 2024 </w:t>
      </w:r>
      <w:r>
        <w:rPr>
          <w:rFonts w:ascii="Times New Roman" w:hAnsi="Times New Roman"/>
          <w:caps w:val="false"/>
          <w:smallCaps w:val="false"/>
          <w:sz w:val="20"/>
        </w:rPr>
        <w:t>were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caps w:val="false"/>
          <w:smallCaps w:val="false"/>
          <w:sz w:val="20"/>
        </w:rPr>
        <w:t> </w:t>
      </w: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providing for the purchase of 405,000,000 shares of the Company’s common stock for an aggregate purchase price of $63,400. Liquidmetal Technology Limited was a newly formed company owned by our Chairman, Professor Li. 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and also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and Eontec entered into a license agreement, pursuant to which the Company and Eontec entered into a cross-license of their respective technologies. Eontec is an affiliate of Yihao which is currently the Company’s primary contract manufacturer. 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 xml:space="preserve">Professor Li is a greater-than 5% beneficial owner of the Company and serves as the Company’s Chairman. Equipment and services procured from Yihao were $61 and $299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respectively, and $221 and $479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2024, </w:t>
      </w:r>
      <w:r>
        <w:rPr>
          <w:rFonts w:ascii="Times New Roman" w:hAnsi="Times New Roman"/>
          <w:caps w:val="false"/>
          <w:smallCaps w:val="false"/>
          <w:sz w:val="20"/>
        </w:rPr>
        <w:t>respectively. 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Company has outstanding payables to Yihao of $14 and $70,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Mr. Abdi Mahamedi resigned as a director of the Company. Upon Mr. Mahamedi’s departure, the Company entered into a Consulting Agreement with Mr. Mahamedi to present business opportunities for the licensing and sublicensing of the Company’s technology. The Consulting Agreement has a term of </w:t>
      </w:r>
      <w:r>
        <w:rPr>
          <w:rStyle w:val="Emphasis"/>
          <w:rFonts w:ascii="Times New Roman" w:hAnsi="Times New Roman"/>
          <w:caps w:val="false"/>
          <w:smallCaps w:val="false"/>
          <w:sz w:val="20"/>
        </w:rPr>
        <w:t>5</w:t>
      </w:r>
      <w:r>
        <w:rPr>
          <w:rFonts w:ascii="Times New Roman" w:hAnsi="Times New Roman"/>
          <w:caps w:val="false"/>
          <w:smallCaps w:val="false"/>
          <w:sz w:val="20"/>
        </w:rPr>
        <w:t> years and granted to Mr. Mahamedi an option to purchase up to 2.0 million shares of Company common stock at an exercise price of the closing market price of the Company’s common stock on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that will vest 33% on the </w:t>
      </w:r>
      <w:r>
        <w:rPr>
          <w:rStyle w:val="Emphasis"/>
          <w:rFonts w:ascii="Times New Roman" w:hAnsi="Times New Roman"/>
          <w:caps w:val="false"/>
          <w:smallCaps w:val="false"/>
          <w:sz w:val="20"/>
        </w:rPr>
        <w:t>first</w:t>
      </w:r>
      <w:r>
        <w:rPr>
          <w:rFonts w:ascii="Times New Roman" w:hAnsi="Times New Roman"/>
          <w:caps w:val="false"/>
          <w:smallCaps w:val="false"/>
          <w:sz w:val="20"/>
        </w:rPr>
        <w:t> anniversary of the grant date and the remainder vesting monthly over the ensuing </w:t>
      </w:r>
      <w:r>
        <w:rPr>
          <w:rStyle w:val="Emphasis"/>
          <w:rFonts w:ascii="Times New Roman" w:hAnsi="Times New Roman"/>
          <w:caps w:val="false"/>
          <w:smallCaps w:val="false"/>
          <w:sz w:val="20"/>
        </w:rPr>
        <w:t>two</w:t>
      </w:r>
      <w:r>
        <w:rPr>
          <w:rFonts w:ascii="Times New Roman" w:hAnsi="Times New Roman"/>
          <w:caps w:val="false"/>
          <w:smallCaps w:val="false"/>
          <w:sz w:val="20"/>
        </w:rPr>
        <w:t> years, provided that Mr. Mahamedi continues to be engaged as a consultant on each such vesting date. The options have a term of </w:t>
      </w:r>
      <w:r>
        <w:rPr>
          <w:rStyle w:val="Emphasis"/>
          <w:rFonts w:ascii="Times New Roman" w:hAnsi="Times New Roman"/>
          <w:caps w:val="false"/>
          <w:smallCaps w:val="false"/>
          <w:sz w:val="20"/>
        </w:rPr>
        <w:t>5</w:t>
      </w:r>
      <w:r>
        <w:rPr>
          <w:rFonts w:ascii="Times New Roman" w:hAnsi="Times New Roman"/>
          <w:caps w:val="false"/>
          <w:smallCaps w:val="false"/>
          <w:sz w:val="20"/>
        </w:rPr>
        <w: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17.</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follows the guidance in FASB ASC Topic </w:t>
      </w:r>
      <w:r>
        <w:rPr>
          <w:rStyle w:val="Emphasis"/>
          <w:rFonts w:ascii="Times New Roman" w:hAnsi="Times New Roman"/>
          <w:caps w:val="false"/>
          <w:smallCaps w:val="false"/>
          <w:sz w:val="20"/>
        </w:rPr>
        <w:t>855,</w:t>
      </w:r>
      <w:r>
        <w:rPr>
          <w:rFonts w:ascii="Times New Roman" w:hAnsi="Times New Roman"/>
          <w:caps w:val="false"/>
          <w:smallCaps w:val="false"/>
          <w:sz w:val="20"/>
        </w:rPr>
        <w:t> Subsequent Events (“ASC </w:t>
      </w:r>
      <w:r>
        <w:rPr>
          <w:rStyle w:val="Emphasis"/>
          <w:rFonts w:ascii="Times New Roman" w:hAnsi="Times New Roman"/>
          <w:caps w:val="false"/>
          <w:smallCaps w:val="false"/>
          <w:sz w:val="20"/>
        </w:rPr>
        <w:t>855”</w:t>
      </w:r>
      <w:r>
        <w:rPr>
          <w:rFonts w:ascii="Times New Roman" w:hAnsi="Times New Roman"/>
          <w:caps w:val="false"/>
          <w:smallCaps w:val="false"/>
          <w:sz w:val="20"/>
        </w:rPr>
        <w:t>), which provides guidance to establish general standards of accounting for and disclosures of events that occur after the balance sheet date but before the consolidated financial statements are issued or are available to be issued. ASC </w:t>
      </w:r>
      <w:r>
        <w:rPr>
          <w:rStyle w:val="Emphasis"/>
          <w:rFonts w:ascii="Times New Roman" w:hAnsi="Times New Roman"/>
          <w:caps w:val="false"/>
          <w:smallCaps w:val="false"/>
          <w:sz w:val="20"/>
        </w:rPr>
        <w:t>855</w:t>
      </w:r>
      <w:r>
        <w:rPr>
          <w:rFonts w:ascii="Times New Roman" w:hAnsi="Times New Roman"/>
          <w:caps w:val="false"/>
          <w:smallCaps w:val="false"/>
          <w:sz w:val="20"/>
        </w:rPr>
        <w:t> sets forth (i) the period after the balance sheet date during which management of a reporting entity evaluates events or transactions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occur for potential recognition or disclosure in the consolidated financial statements, (ii) the circumstances under which an entity should recognize events or transactions occurring after the balance sheet date in its consolidated financial statements, and (iii) the disclosures that an entity should make about events or transactions that occurred after the balance sheet date. Accordingly,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have any subsequent events that require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gmt"/>
      <w:bookmarkEnd w:id="11"/>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should be read in conjunction with the consolidated financial statements and notes included elsewhere in this Quarterly Report on Form 10-Q. All amounts described in this section are in thousands, except percentages, periods of time, and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as well as other sections of this Quarterly Report on Form 10-Q,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words or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“Item 1A. Risk Factors” in our Annual Report on Form 10-K for the fiscal year ended December 31, 2024 and other risks and uncertainties discussed in other filings made with the Securities and Exchange Commission (including risks described in subsequent reports on Form 10-Q and Form 8-K and other filings). We disclaim any intention or obligation, other than as required by applicable law,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materials technology company that works with manufacturing and commercial partners to develop and commercialize products made from our proprietary amorphous alloys. Our Liquidmetal® family of alloys consists of a variety of proprietary bulk alloys and composites that utilize the advantages offered by amorphous alloy technology. We design, develop, and sell custom products and parts from bulk amorphous alloys to customers in various industries. We also partner with third-party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Hangzhou Feifeng Liquidmetal Co., Ltd.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Liquidmetal Asia Holdings Limited (“Liquidmetal Asia”), a Hong Kong based, our wholly owned subsidiary,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will be owned 70% by Liquidmetal Asia and 30% by Mr. Liu and will be capitalized with $6.0 million USD of initial capital, of which $4.2 million has been contributed by Liquidmetal Asia, and $1.8 million will be contributed by Mr. Liu on or before May 25,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2022, we entered into a manufacturing agreement (“Manufacturing Agreement”) with Dongguan Yihao Metal Materials Technology Co. Ltd. (“Yihao”) to become the primary contract manufacturer of our products. Under the Manufacturing Agreement, which has a term of five years, Yihao has agreed to serve as a non-exclusive contract manufacturer for amorphous alloy parts offered and sold by us at prices determined on a “cost-plus” basis. Yihao is an affiliate of Dongguan Eontec Co. Ltd. and Professor Lugee Li, our Chairman and largest beneficial owner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16, 2017, we purchased a 41,000 square foot facility (the “Facility”) located in Lake Forest, CA, where operations commenced during July 2017. 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23, 2020, 20321 Valencia, LLC, a Delaware limited liability company and our wholly owned subsidiary, entered into a lease agreement pursuant to which we leased to MatterHackers, Inc., a Delaware corporation (“Tenant”), an approximately 32,534 square foot portion of the Facility. The lease term was for 5 years and 2 months and expired on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26, 2025, we entered into a new lease agreement (the “Facility Lease”) for a 5 year term commencing on May 1, 2025 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2016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225,212,112 shares of our common stock owned by the Investor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shares issuable under the 2016 Purchase Agreement, we issued to the Investor a warrant to acquire 10,066,809 shares of common stock at an exercise price of $0.07 per share. The warrant will expire on the tenth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in connection with the 2016 Purchase Agreement, we entered into a Parallel License Agreement (the “License Agreement”) with DongGuan Eontec Co., Ltd., a Hong Kong corporation (“Eontec”) pursuant to which we agreed to perpetually cross-license our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31, 2020, we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we licensed to Eutectix specified equipment owned by us and also licensed to Eutectix various patents and technical information related to our proprietary technology. The Agreement expired in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(“Liquidmetal Golf” or “LMG”)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our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7" w:type="dxa"/>
        <w:tblLayout w:type="fixed"/>
        <w:tblCellMar>
          <w:top w:w="28" w:type="dxa"/>
          <w:left w:w="28" w:type="dxa"/>
          <w:bottom w:w="28" w:type="dxa"/>
          <w:right w:w="28" w:type="dxa"/>
        </w:tblCellMar>
      </w:tblPr>
      <w:tblGrid>
        <w:gridCol w:w="60"/>
        <w:gridCol w:w="110"/>
        <w:gridCol w:w="5030"/>
      </w:tblGrid>
      <w:tr>
        <w:trPr/>
        <w:tc>
          <w:tcPr>
            <w:tcW w:w="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1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w:t>
            </w:r>
          </w:p>
        </w:tc>
      </w:tr>
      <w:tr>
        <w:trPr/>
        <w:tc>
          <w:tcPr>
            <w:tcW w:w="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long-lived assets and definite-lived intangibles</w:t>
            </w:r>
          </w:p>
        </w:tc>
      </w:tr>
      <w:tr>
        <w:trPr/>
        <w:tc>
          <w:tcPr>
            <w:tcW w:w="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r>
      <w:tr>
        <w:trPr/>
        <w:tc>
          <w:tcPr>
            <w:tcW w:w="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2024 (the “2024 Annual Report”) contains further discussions on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5"/>
        <w:gridCol w:w="60"/>
        <w:gridCol w:w="167"/>
        <w:gridCol w:w="528"/>
        <w:gridCol w:w="80"/>
        <w:gridCol w:w="60"/>
        <w:gridCol w:w="87"/>
        <w:gridCol w:w="957"/>
        <w:gridCol w:w="185"/>
        <w:gridCol w:w="60"/>
        <w:gridCol w:w="167"/>
        <w:gridCol w:w="528"/>
        <w:gridCol w:w="80"/>
        <w:gridCol w:w="60"/>
        <w:gridCol w:w="102"/>
        <w:gridCol w:w="941"/>
        <w:gridCol w:w="185"/>
        <w:gridCol w:w="60"/>
        <w:gridCol w:w="167"/>
        <w:gridCol w:w="528"/>
        <w:gridCol w:w="80"/>
        <w:gridCol w:w="60"/>
        <w:gridCol w:w="106"/>
        <w:gridCol w:w="863"/>
        <w:gridCol w:w="189"/>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1"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9"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Changes</w:t>
            </w:r>
          </w:p>
        </w:tc>
        <w:tc>
          <w:tcPr>
            <w:tcW w:w="189"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Change</w:t>
            </w:r>
          </w:p>
        </w:tc>
        <w:tc>
          <w:tcPr>
            <w:tcW w:w="189" w:type="dxa"/>
            <w:tcBorders/>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decreased by $279 to $37 for the three months ended September 30, 2025 from $316 for the three months ended September 30, 2024. The decrease was attributable to decrease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$17, or 45.9% of total revenue, for the three months ended September 30, 2025, as compared to $239, or 75.6% of total revenue, for the three months ended September 30, 2024. The increase in our cost of sales was primarily driven by lower general production revenues and higher mold tooling during Q3 2025 compared to Q3 2024.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decreased by $57 from $77 for the three months ended September 30, 2024 to $20 for the three months ended September 30, 2025. Our gross margin percentage increased from Q3 2024 to Q3 2025.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$57 to $961, or 2,597.3% of revenue, for the three months ended September 30, 2025 from $904, or 286.1% of revenue, for the three months ended September 30, 2024. The increase in expenses was primarily attributable to increase in payroll expenses, legal fees, travel expenses, and stock compensation in Q3 2025 compared to Q3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remained unchanged at $4, or 10.8% of revenue, for the three months ended September 30, 2025, and $6, or 1.9% of revenue, for the three months ended September 30, 2024.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$25 and $53 for the three months ended September 30, 2025 and 2024, respectively. The decrease during the three months ended September 30, 2025 is primarily due to withdrawals from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$166 and $206 for three months ended September 30, 2025 and 2024, respectively. The decrease during the three months ended September 30, 2025 is primarily due withdrawals from debt securities to fund our new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$196 and $88 for the three months ended September 30, 2025 and 2024, the increase in lease income was due to our tenant signing a new lease agreement with higher base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$552 for the three months ended September 30, 2025 and $441 for the three months ended September 30, 2024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5"/>
        <w:gridCol w:w="60"/>
        <w:gridCol w:w="129"/>
        <w:gridCol w:w="566"/>
        <w:gridCol w:w="80"/>
        <w:gridCol w:w="60"/>
        <w:gridCol w:w="102"/>
        <w:gridCol w:w="941"/>
        <w:gridCol w:w="185"/>
        <w:gridCol w:w="60"/>
        <w:gridCol w:w="129"/>
        <w:gridCol w:w="566"/>
        <w:gridCol w:w="80"/>
        <w:gridCol w:w="60"/>
        <w:gridCol w:w="102"/>
        <w:gridCol w:w="941"/>
        <w:gridCol w:w="185"/>
        <w:gridCol w:w="60"/>
        <w:gridCol w:w="167"/>
        <w:gridCol w:w="528"/>
        <w:gridCol w:w="80"/>
        <w:gridCol w:w="60"/>
        <w:gridCol w:w="114"/>
        <w:gridCol w:w="854"/>
        <w:gridCol w:w="191"/>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0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w:t>
            </w:r>
          </w:p>
        </w:tc>
        <w:tc>
          <w:tcPr>
            <w:tcW w:w="191"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Change</w:t>
            </w:r>
          </w:p>
        </w:tc>
        <w:tc>
          <w:tcPr>
            <w:tcW w:w="191" w:type="dxa"/>
            <w:tcBorders/>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decreased by $123 to $608 for the nine months ended September 30, 2025 from $731 for the nine months ended September 30, 2024. The decrease was attributable to a decrease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$433, or 71.2% of total revenue, for the nine months ended September 30, 2025, as compared to $560, or 76.6% of total revenue, for the nine months ended September 30, 2024. The decreease in our cost of sales was primarily driven by lower production part revenues during Q3 2025 compared to Q3 2024.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increased by $4 from $171 for the nine months ended September 30, 2024 to $175 for the nine months ended September 30, 2025. Our gross margin percentage increased slightly from Q3 2024 to Q3 2025.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$339 to $2,863, or 470.9% of revenue, for the nine months ended September 30, 2025 from $2,524, or 345.3% of revenue, for the nine months ended September 30, 2024. The increase in expenses was primarily attributable to increase in payroll expenses, travel expenses, legal fees, and stock compensation in Q3 2025 compared to Q3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remained unchanged at $11, or 1.8% of revenue, for the nine months ended September 30, 2025, and $15, or 2.1% of revenue, for the nine months ended September 30, 2024.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$93 and $139 for the nine months ended September 30, 2025 and 2024, respectively. The decrease during the nine months ended September 30, 2025 is primarily due to withdrawals from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$508 and $636 for nine months ended September 30, 2025 and 2024, respectively. The decrease during the nine months ended September 30, 2025 is primarily due to withdrawals from debt securities to fund our new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$445 and $267 for the nine months ended September 30, 2025 and 2024, respectively, the increase in lease income was due to our tenant signing a new lease agreement with higher base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$1,645 for the nine months ended September 30, 2025 and $1,015 for the nine months ended September 30, 2024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totaled $1,325 and $135 for the nine months ended September 30, 2025 and 2024, respectively. The cash was primarily used to fund operating expenses related to our business and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provided by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investing activities totaled $3,804 and cash used in investing activities totaled $3,812 for the nine months ended September 30, 2025 and 2024, respectively. Investing inflows primarily consist of proceeds from the sale of debt securities. Investing outflows primarily consist of purchases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Financing arrangements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as of September 30, 2025, we had $8,490 in cash, as well as $12,616 in investments in debt securities. We view this total of $21,106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quant"/>
      <w:bookmarkEnd w:id="12"/>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conpro"/>
      <w:bookmarkEnd w:id="13"/>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b/>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September 30, 2025. Based on their evaluation, our Chief Executive Officer has concluded that our disclosure controls and procedures were effective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that term is defined in Rules 13a-15(f) or 15d-15(f) under the Exchange Act) during the quarter ended September 30,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4" w:name="ptwo"/>
      <w:bookmarkEnd w:id="14"/>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legal"/>
      <w:bookmarkEnd w:id="15"/>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riskf"/>
      <w:bookmarkEnd w:id="16"/>
      <w:r>
        <w:rPr>
          <w:rFonts w:ascii="Times New Roman" w:hAnsi="Times New Roman"/>
          <w:b/>
          <w:caps w:val="false"/>
          <w:smallCaps w:val="false"/>
          <w:sz w:val="20"/>
        </w:rPr>
        <w:t>Item 1A</w:t>
      </w:r>
      <w:r>
        <w:rPr>
          <w:rFonts w:ascii="Times New Roman" w:hAnsi="Times New Roman"/>
          <w:caps w:val="false"/>
          <w:smallCaps w:val="false"/>
          <w:sz w:val="20"/>
        </w:rPr>
        <w:t> –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 detailed discussion of the risk factors that should be understood by any investor contemplating an investment in our stock, please refer to Part I, Item 1A “Risk Factors” in the 2024 Annual Report. There have been no material changes from the risk factors previously disclosed in Part I, Item 1A “Risk Factors” in the 2024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unreg"/>
      <w:bookmarkEnd w:id="17"/>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period covered by this Quarterly Report on Form 10-Q, we did not issue or sell any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default"/>
      <w:bookmarkEnd w:id="18"/>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mine"/>
      <w:bookmarkEnd w:id="19"/>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both"/>
        <w:rPr/>
      </w:pPr>
      <w:bookmarkStart w:id="20" w:name="other"/>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1" w:name="exs"/>
      <w:bookmarkEnd w:id="21"/>
      <w:r>
        <w:rPr>
          <w:rFonts w:ascii="Times New Roman" w:hAnsi="Times New Roman"/>
          <w:b/>
          <w:caps w:val="false"/>
          <w:smallCaps w:val="false"/>
          <w:sz w:val="20"/>
        </w:rPr>
        <w:t>Item 6</w:t>
      </w:r>
      <w:r>
        <w:rPr>
          <w:rFonts w:ascii="Times New Roman" w:hAnsi="Times New Roman"/>
          <w:caps w:val="false"/>
          <w:smallCaps w:val="false"/>
          <w:sz w:val="20"/>
        </w:rPr>
        <w:t> –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exhibits 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665"/>
        <w:gridCol w:w="60"/>
        <w:gridCol w:w="9480"/>
      </w:tblGrid>
      <w:tr>
        <w:trPr/>
        <w:tc>
          <w:tcPr>
            <w:tcW w:w="6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Number</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4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Document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pPr>
            <w:hyperlink w:anchor="ex_880776.htm">
              <w:r>
                <w:rPr>
                  <w:rStyle w:val="InternetLink"/>
                  <w:rFonts w:ascii="Times New Roman" w:hAnsi="Times New Roman"/>
                  <w:caps w:val="false"/>
                  <w:smallCaps w:val="false"/>
                  <w:sz w:val="20"/>
                  <w:u w:val="single"/>
                </w:rPr>
                <w:t>Certification of Principal Executive Officer and Principal Financial Officer, Tony Chung, as required by Section 302 of the Sarbanes-Oxley Act of 2002.</w:t>
              </w:r>
            </w:hyperlink>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pPr>
            <w:hyperlink w:anchor="ex_880777.htm">
              <w:r>
                <w:rPr>
                  <w:rStyle w:val="InternetLink"/>
                  <w:rFonts w:ascii="Times New Roman" w:hAnsi="Times New Roman"/>
                  <w:caps w:val="false"/>
                  <w:smallCaps w:val="false"/>
                  <w:sz w:val="20"/>
                  <w:u w:val="single"/>
                </w:rPr>
                <w:t>Certification of Chief Executive Officer and Principal Financial Officer, Tony Chung, pursuant to 18 U.S.C. Section 1350, as adopted pursuant to Section 906 of the Sarbanes-Oxley Act of 2002.</w:t>
              </w:r>
            </w:hyperlink>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statements from Liquidmetal Technologies, Inc.’s Quarterly Report on Form 10-Q for the quarter ended September 30, 2025 (unaudited), formatted in Inline XBRL: (i) Consolidated Balance Sheets as of September 30, 2025 and December 31, 2024, (ii) Consolidated Statements of Operations for the three and nine months ended September 30, 2025 and 2024, (iii) Consolidated Statements of Stockholders’ Equity for the three and nine months ended September 30, 2025 and 2024, (iv) Consolidated Statements of Comprehensive Loss for the three and nine months ended September 30, 2025 and 2024, (v) Consolidated Statements of Cash Flows for the nine months ended September 30, 2025 and 2024, and (vi) Notes to Consolidated Financial Statements.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7" w:type="dxa"/>
        <w:tblLayout w:type="fixed"/>
        <w:tblCellMar>
          <w:top w:w="28" w:type="dxa"/>
          <w:left w:w="28" w:type="dxa"/>
          <w:bottom w:w="28" w:type="dxa"/>
          <w:right w:w="28" w:type="dxa"/>
        </w:tblCellMar>
      </w:tblPr>
      <w:tblGrid>
        <w:gridCol w:w="2105"/>
        <w:gridCol w:w="3410"/>
        <w:gridCol w:w="60"/>
      </w:tblGrid>
      <w:tr>
        <w:trPr/>
        <w:tc>
          <w:tcPr>
            <w:tcW w:w="21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34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TECHNOLOGIES, INC.</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13, 2025</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Tony Chung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 and Principal</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Officer)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26 </w:t>
      </w:r>
    </w:p>
    <w:p>
      <w:pPr>
        <w:pStyle w:val="TextBody"/>
        <w:bidi w:val="0"/>
        <w:spacing w:before="0" w:after="0"/>
        <w:ind w:left="0" w:right="0" w:hanging="0"/>
        <w:jc w:val="left"/>
        <w:rPr>
          <w:caps w:val="false"/>
          <w:smallCaps w:val="false"/>
        </w:rPr>
      </w:pPr>
      <w:bookmarkStart w:id="23" w:name="ex_880776.htm"/>
      <w:bookmarkStart w:id="24" w:name="ksex_880776"/>
      <w:bookmarkEnd w:id="23"/>
      <w:bookmarkEnd w:id="24"/>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Tony Chung,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105"/>
        <w:gridCol w:w="2915"/>
        <w:gridCol w:w="60"/>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13, 2025</w:t>
            </w:r>
          </w:p>
        </w:tc>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5" w:name="ex_880777.htm"/>
      <w:bookmarkStart w:id="26" w:name="ksex_880777"/>
      <w:bookmarkEnd w:id="25"/>
      <w:bookmarkEnd w:id="26"/>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WRITTEN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September 30, 2025 (the “Report”) fully complies with the requirements of Section 13(a)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599" w:type="dxa"/>
        <w:jc w:val="left"/>
        <w:tblInd w:w="0" w:type="dxa"/>
        <w:tblLayout w:type="fixed"/>
        <w:tblCellMar>
          <w:top w:w="0" w:type="dxa"/>
          <w:left w:w="0" w:type="dxa"/>
          <w:bottom w:w="28" w:type="dxa"/>
          <w:right w:w="0" w:type="dxa"/>
        </w:tblCellMar>
      </w:tblPr>
      <w:tblGrid>
        <w:gridCol w:w="5469"/>
        <w:gridCol w:w="130"/>
      </w:tblGrid>
      <w:tr>
        <w:trPr/>
        <w:tc>
          <w:tcPr>
            <w:tcW w:w="54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130" w:type="dxa"/>
            <w:tcBorders/>
            <w:tcMar>
              <w:bottom w:w="0" w:type="dxa"/>
            </w:tcMar>
            <w:vAlign w:val="center"/>
          </w:tcPr>
          <w:p>
            <w:pPr>
              <w:pStyle w:val="TableContents"/>
              <w:bidi w:val="0"/>
              <w:spacing w:before="0" w:after="283"/>
              <w:jc w:val="left"/>
              <w:rPr/>
            </w:pPr>
            <w:r>
              <w:rPr/>
              <w:t> </w:t>
            </w:r>
          </w:p>
        </w:tc>
      </w:tr>
      <w:tr>
        <w:trPr/>
        <w:tc>
          <w:tcPr>
            <w:tcW w:w="5599" w:type="dxa"/>
            <w:gridSpan w:val="2"/>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 Chief Executive Officer and Principal Financial Officer</w:t>
            </w:r>
          </w:p>
        </w:tc>
      </w:tr>
      <w:tr>
        <w:trPr/>
        <w:tc>
          <w:tcPr>
            <w:tcW w:w="546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13, 2025</w:t>
            </w:r>
          </w:p>
        </w:tc>
        <w:tc>
          <w:tcPr>
            <w:tcW w:w="1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12943</Words>
  <Characters>70004</Characters>
  <CharactersWithSpaces>85963</CharactersWithSpaces>
  <Paragraphs>6532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