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qmt20250630_10q.htm"/>
      <w:bookmarkStart w:id="1" w:name="kslqmt20250630_10q"/>
      <w:bookmarkEnd w:id="0"/>
      <w:bookmarkEnd w:id="1"/>
      <w:r>
        <w:rPr/>
        <w:t xml:space="preserve">  </w:t>
      </w:r>
      <w:r>
        <mc:AlternateContent>
          <mc:Choice Requires="wps">
            <w:drawing>
              <wp:anchor behindDoc="0" distT="0" distB="0" distL="0" distR="0" simplePos="0" locked="0" layoutInCell="1" allowOverlap="1" relativeHeight="2">
                <wp:simplePos x="0" y="0"/>
                <wp:positionH relativeFrom="page">
                  <wp:posOffset>1428750</wp:posOffset>
                </wp:positionH>
                <wp:positionV relativeFrom="page">
                  <wp:posOffset>180813075</wp:posOffset>
                </wp:positionV>
                <wp:extent cx="28575" cy="2076450"/>
                <wp:effectExtent l="0" t="0" r="0" b="0"/>
                <wp:wrapNone/>
                <wp:docPr id="1" name="Frame1"/>
                <a:graphic xmlns:a="http://schemas.openxmlformats.org/drawingml/2006/main">
                  <a:graphicData uri="http://schemas.microsoft.com/office/word/2010/wordprocessingShape">
                    <wps:wsp>
                      <wps:cNvSpPr txBox="1"/>
                      <wps:spPr>
                        <a:xfrm>
                          <a:off x="0" y="0"/>
                          <a:ext cx="28575" cy="207645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5pt;height:163.5pt;mso-wrap-distance-left:0pt;mso-wrap-distance-right:0pt;mso-wrap-distance-top:0pt;mso-wrap-distance-bottom:0pt;margin-top:14237.25pt;mso-position-vertical-relative:page;margin-left:112.5pt;mso-position-horizontal-relative:page">
                <v:textbox inset="0in,0in,0in,0in">
                  <w:txbxContent>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w:t>
      </w:r>
      <w:r>
        <w:rPr>
          <w:rFonts w:ascii="Times New Roman" w:hAnsi="Times New Roman"/>
          <w:caps w:val="false"/>
          <w:smallCaps w:val="false"/>
          <w:sz w:val="36"/>
        </w:rPr>
        <w:t> </w:t>
      </w:r>
      <w:r>
        <w:rPr>
          <w:rFonts w:ascii="Times New Roman" w:hAnsi="Times New Roman"/>
          <w:b/>
          <w:caps w:val="false"/>
          <w:smallCaps w:val="false"/>
          <w:sz w:val="36"/>
        </w:rPr>
        <w:t>10-Q</w:t>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28" w:type="dxa"/>
          <w:left w:w="28" w:type="dxa"/>
          <w:bottom w:w="28" w:type="dxa"/>
          <w:right w:w="0" w:type="dxa"/>
        </w:tblCellMar>
      </w:tblPr>
      <w:tblGrid>
        <w:gridCol w:w="230"/>
        <w:gridCol w:w="9875"/>
      </w:tblGrid>
      <w:tr>
        <w:trPr/>
        <w:tc>
          <w:tcPr>
            <w:tcW w:w="23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w:t>
      </w:r>
      <w:r>
        <w:rPr>
          <w:rFonts w:ascii="Times New Roman" w:hAnsi="Times New Roman"/>
          <w:caps w:val="false"/>
          <w:smallCaps w:val="false"/>
          <w:sz w:val="20"/>
        </w:rPr>
        <w:t> </w:t>
      </w:r>
      <w:r>
        <w:rPr>
          <w:rFonts w:ascii="Times New Roman" w:hAnsi="Times New Roman"/>
          <w:b/>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28" w:type="dxa"/>
          <w:left w:w="28" w:type="dxa"/>
          <w:bottom w:w="28" w:type="dxa"/>
          <w:right w:w="0" w:type="dxa"/>
        </w:tblCellMar>
      </w:tblPr>
      <w:tblGrid>
        <w:gridCol w:w="230"/>
        <w:gridCol w:w="9860"/>
      </w:tblGrid>
      <w:tr>
        <w:trPr/>
        <w:tc>
          <w:tcPr>
            <w:tcW w:w="23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w:t>
      </w:r>
      <w:r>
        <w:rPr>
          <w:rFonts w:ascii="Times New Roman" w:hAnsi="Times New Roman"/>
          <w:b/>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 File No</w:t>
      </w:r>
      <w:r>
        <w:rPr>
          <w:rFonts w:ascii="Times New Roman" w:hAnsi="Times New Roman"/>
          <w:caps w:val="false"/>
          <w:smallCaps w:val="false"/>
          <w:sz w:val="20"/>
        </w:rPr>
        <w:t>.  </w:t>
      </w:r>
      <w:r>
        <w:rPr>
          <w:rFonts w:ascii="Times New Roman" w:hAnsi="Times New Roman"/>
          <w:b/>
          <w:caps w:val="false"/>
          <w:smallCaps w:val="false"/>
          <w:sz w:val="20"/>
        </w:rPr>
        <w:t>001-31332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LIQUIDMETAL TECHNOLOGIES,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t>
      </w:r>
      <w:r>
        <w:rPr>
          <w:rFonts w:ascii="Times New Roman" w:hAnsi="Times New Roman"/>
          <w:caps w:val="false"/>
          <w:smallCaps w:val="false"/>
          <w:sz w:val="20"/>
        </w:rPr>
        <w:t>Exact name of Registrant as specified in its charter</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28" w:type="dxa"/>
          <w:left w:w="28" w:type="dxa"/>
          <w:bottom w:w="28" w:type="dxa"/>
          <w:right w:w="0" w:type="dxa"/>
        </w:tblCellMar>
      </w:tblPr>
      <w:tblGrid>
        <w:gridCol w:w="2480"/>
        <w:gridCol w:w="1520"/>
      </w:tblGrid>
      <w:tr>
        <w:trPr/>
        <w:tc>
          <w:tcPr>
            <w:tcW w:w="248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2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33-0264467</w:t>
            </w:r>
          </w:p>
        </w:tc>
      </w:tr>
      <w:tr>
        <w:trPr/>
        <w:tc>
          <w:tcPr>
            <w:tcW w:w="24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15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4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15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20321 Valencia Circle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Lake Forest,</w:t>
      </w:r>
      <w:r>
        <w:rPr>
          <w:rFonts w:ascii="Times New Roman" w:hAnsi="Times New Roman"/>
          <w:caps w:val="false"/>
          <w:smallCaps w:val="false"/>
          <w:sz w:val="20"/>
        </w:rPr>
        <w:t> </w:t>
      </w:r>
      <w:r>
        <w:rPr>
          <w:rFonts w:ascii="Times New Roman" w:hAnsi="Times New Roman"/>
          <w:b/>
          <w:caps w:val="false"/>
          <w:smallCaps w:val="false"/>
          <w:sz w:val="20"/>
        </w:rPr>
        <w:t>CA</w:t>
      </w:r>
      <w:r>
        <w:rPr>
          <w:rFonts w:ascii="Times New Roman" w:hAnsi="Times New Roman"/>
          <w:caps w:val="false"/>
          <w:smallCaps w:val="false"/>
          <w:sz w:val="20"/>
        </w:rPr>
        <w:t> </w:t>
      </w:r>
      <w:r>
        <w:rPr>
          <w:rFonts w:ascii="Times New Roman" w:hAnsi="Times New Roman"/>
          <w:b/>
          <w:caps w:val="false"/>
          <w:smallCaps w:val="false"/>
          <w:sz w:val="20"/>
        </w:rPr>
        <w:t>92630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b/>
          <w:caps w:val="false"/>
          <w:smallCaps w:val="false"/>
          <w:sz w:val="20"/>
        </w:rPr>
        <w:t>(949)</w:t>
      </w:r>
      <w:r>
        <w:rPr>
          <w:rFonts w:ascii="Times New Roman" w:hAnsi="Times New Roman"/>
          <w:caps w:val="false"/>
          <w:smallCaps w:val="false"/>
          <w:sz w:val="20"/>
        </w:rPr>
        <w:t> </w:t>
      </w:r>
      <w:r>
        <w:rPr>
          <w:rFonts w:ascii="Times New Roman" w:hAnsi="Times New Roman"/>
          <w:b/>
          <w:caps w:val="false"/>
          <w:smallCaps w:val="false"/>
          <w:sz w:val="20"/>
        </w:rPr>
        <w:t>635-2100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6780" w:type="dxa"/>
        <w:jc w:val="left"/>
        <w:tblInd w:w="0" w:type="dxa"/>
        <w:tblLayout w:type="fixed"/>
        <w:tblCellMar>
          <w:top w:w="28" w:type="dxa"/>
          <w:left w:w="28" w:type="dxa"/>
          <w:bottom w:w="28" w:type="dxa"/>
          <w:right w:w="0" w:type="dxa"/>
        </w:tblCellMar>
      </w:tblPr>
      <w:tblGrid>
        <w:gridCol w:w="2900"/>
        <w:gridCol w:w="1940"/>
        <w:gridCol w:w="1940"/>
      </w:tblGrid>
      <w:tr>
        <w:trPr/>
        <w:tc>
          <w:tcPr>
            <w:tcW w:w="290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                   </w:t>
            </w:r>
          </w:p>
        </w:tc>
        <w:tc>
          <w:tcPr>
            <w:tcW w:w="194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        </w:t>
            </w:r>
          </w:p>
        </w:tc>
        <w:tc>
          <w:tcPr>
            <w:tcW w:w="194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r>
      <w:tr>
        <w:trPr/>
        <w:tc>
          <w:tcPr>
            <w:tcW w:w="290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94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94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9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        </w:t>
            </w:r>
          </w:p>
        </w:tc>
        <w:tc>
          <w:tcPr>
            <w:tcW w:w="3880" w:type="dxa"/>
            <w:gridSpan w:val="2"/>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common shares outstanding as of August 13, 2025 was 917,285,149.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LIQUIDMETAL TECHNOLOGIES, INC.</w:t>
      </w:r>
      <w:r>
        <w:rPr>
          <w:rFonts w:ascii="Times New Roman" w:hAnsi="Times New Roman"/>
          <w:caps w:val="false"/>
          <w:smallCaps w:val="false"/>
          <w:sz w:val="20"/>
        </w:rPr>
        <w:br/>
      </w:r>
      <w:r>
        <w:rPr>
          <w:rFonts w:ascii="Times New Roman" w:hAnsi="Times New Roman"/>
          <w:b/>
          <w:caps w:val="false"/>
          <w:smallCaps w:val="false"/>
          <w:sz w:val="20"/>
        </w:rPr>
        <w:t>FORM 10-Q</w:t>
      </w:r>
      <w:r>
        <w:rPr>
          <w:rFonts w:ascii="Times New Roman" w:hAnsi="Times New Roman"/>
          <w:caps w:val="false"/>
          <w:smallCaps w:val="false"/>
          <w:sz w:val="20"/>
        </w:rPr>
        <w:br/>
      </w:r>
      <w:r>
        <w:rPr>
          <w:rFonts w:ascii="Times New Roman" w:hAnsi="Times New Roman"/>
          <w:b/>
          <w:caps w:val="false"/>
          <w:smallCaps w:val="false"/>
          <w:sz w:val="20"/>
        </w:rPr>
        <w:t>FOR THE QUARTER ENDED</w:t>
      </w:r>
      <w:r>
        <w:rPr>
          <w:rFonts w:ascii="Times New Roman" w:hAnsi="Times New Roman"/>
          <w:caps w:val="false"/>
          <w:smallCaps w:val="false"/>
          <w:sz w:val="20"/>
        </w:rPr>
        <w:t> </w:t>
      </w:r>
      <w:r>
        <w:rPr>
          <w:rFonts w:ascii="Times New Roman" w:hAnsi="Times New Roman"/>
          <w:b/>
          <w:caps w:val="false"/>
          <w:smallCaps w:val="false"/>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Quarterly Report on Form 10-Q of Liquidmetal Technologies, Inc. contains “forward-looking statements” that may state our management’s plans, future events, objectives, current expectations, estimates, forecasts, assumptions or projections about the company and its business. Any statement in this report that is not a statement of historical fact is a forward-looking statement, and in some cases, words such as “believes,” “estimates,” “projects,” “expects,” “intends,” “may,” “anticipates,” “plans,” “seeks,” and similar words or expressions identify forward-looking statements. Forward-looking statements involve risks and uncertainties that could cause actual outcomes and results to differ materially from the anticipated outcomes or results. These statements are not guarantees of future performance, and undue reliance should not be placed on these statements. It is important to note that our actual results could differ materially from what is expressed in our forward-looking statements due to the risk factors described in the section of our Annual Report on Form 10-K for the year ended December 31, 2024 entitled “Risk Factors,” as well as the following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28" w:type="dxa"/>
          <w:left w:w="28" w:type="dxa"/>
          <w:bottom w:w="28" w:type="dxa"/>
          <w:right w:w="0" w:type="dxa"/>
        </w:tblCellMar>
      </w:tblPr>
      <w:tblGrid>
        <w:gridCol w:w="170"/>
        <w:gridCol w:w="9770"/>
      </w:tblGrid>
      <w:tr>
        <w:trPr/>
        <w:tc>
          <w:tcPr>
            <w:tcW w:w="17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history of operating losses and the uncertainty surrounding our ability to achieve or sustain profitability;</w:t>
            </w:r>
          </w:p>
        </w:tc>
      </w:tr>
      <w:tr>
        <w:trPr/>
        <w:tc>
          <w:tcPr>
            <w:tcW w:w="1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limited history of developing and selling products made from our bulk amorphous alloys;</w:t>
            </w:r>
          </w:p>
        </w:tc>
      </w:tr>
      <w:tr>
        <w:trPr/>
        <w:tc>
          <w:tcPr>
            <w:tcW w:w="1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Challenges associated with having products manufactured from our alloys and the use of third parties for manufacturing;</w:t>
            </w:r>
          </w:p>
        </w:tc>
      </w:tr>
      <w:tr>
        <w:trPr/>
        <w:tc>
          <w:tcPr>
            <w:tcW w:w="1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limited history of licensing our technology to third parties;</w:t>
            </w:r>
          </w:p>
        </w:tc>
      </w:tr>
      <w:tr>
        <w:trPr/>
        <w:tc>
          <w:tcPr>
            <w:tcW w:w="1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Lengthy customer adoption cycles and unpredictable customer adoption practices;</w:t>
            </w:r>
          </w:p>
        </w:tc>
      </w:tr>
      <w:tr>
        <w:trPr/>
        <w:tc>
          <w:tcPr>
            <w:tcW w:w="1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identify, develop, and commercialize new product applications for our technology;</w:t>
            </w:r>
          </w:p>
        </w:tc>
      </w:tr>
      <w:tr>
        <w:trPr/>
        <w:tc>
          <w:tcPr>
            <w:tcW w:w="1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Competition from current suppliers of incumbent materials or producers of competing products;</w:t>
            </w:r>
          </w:p>
        </w:tc>
      </w:tr>
      <w:tr>
        <w:trPr/>
        <w:tc>
          <w:tcPr>
            <w:tcW w:w="1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identify, consummate, and/or integrate strategic partnerships;</w:t>
            </w:r>
          </w:p>
        </w:tc>
      </w:tr>
      <w:tr>
        <w:trPr/>
        <w:tc>
          <w:tcPr>
            <w:tcW w:w="1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potential for manufacturing problems or delays;</w:t>
            </w:r>
          </w:p>
        </w:tc>
      </w:tr>
      <w:tr>
        <w:trPr/>
        <w:tc>
          <w:tcPr>
            <w:tcW w:w="1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 difficulties associated with protecting or expanding our intellectual property position;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undertake no obligation, other than as required by applicable law, to update publicly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985"/>
        <w:gridCol w:w="230"/>
      </w:tblGrid>
      <w:tr>
        <w:trPr/>
        <w:tc>
          <w:tcPr>
            <w:tcW w:w="7985" w:type="dxa"/>
            <w:tcBorders/>
            <w:vAlign w:val="center"/>
          </w:tcPr>
          <w:p>
            <w:pPr>
              <w:pStyle w:val="TableContents"/>
              <w:bidi w:val="0"/>
              <w:spacing w:before="0" w:after="0"/>
              <w:ind w:left="0" w:right="0" w:hanging="0"/>
              <w:jc w:val="left"/>
              <w:rPr/>
            </w:pPr>
            <w:hyperlink w:anchor="p1_i1_bs">
              <w:r>
                <w:rPr>
                  <w:rStyle w:val="InternetLink"/>
                  <w:rFonts w:ascii="Times New Roman" w:hAnsi="Times New Roman"/>
                  <w:b/>
                  <w:caps w:val="false"/>
                  <w:smallCaps w:val="false"/>
                  <w:sz w:val="20"/>
                  <w:u w:val="single"/>
                </w:rPr>
                <w:t>PART I</w:t>
              </w:r>
            </w:hyperlink>
            <w:hyperlink w:anchor="p1_i1_bs">
              <w:r>
                <w:rPr>
                  <w:rStyle w:val="InternetLink"/>
                  <w:rFonts w:ascii="Times New Roman" w:hAnsi="Times New Roman"/>
                  <w:caps w:val="false"/>
                  <w:smallCaps w:val="false"/>
                  <w:sz w:val="20"/>
                  <w:u w:val="single"/>
                </w:rPr>
                <w:t> – </w:t>
              </w:r>
            </w:hyperlink>
            <w:hyperlink w:anchor="p1_i1_bs">
              <w:r>
                <w:rPr>
                  <w:rStyle w:val="InternetLink"/>
                  <w:rFonts w:ascii="Times New Roman" w:hAnsi="Times New Roman"/>
                  <w:b/>
                  <w:caps w:val="false"/>
                  <w:smallCaps w:val="false"/>
                  <w:sz w:val="20"/>
                  <w:u w:val="single"/>
                </w:rPr>
                <w:t>Financial Information</w:t>
              </w:r>
            </w:hyperlink>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p1_i1_bs">
              <w:r>
                <w:rPr>
                  <w:rStyle w:val="InternetLink"/>
                  <w:rFonts w:ascii="Times New Roman" w:hAnsi="Times New Roman"/>
                  <w:caps w:val="false"/>
                  <w:smallCaps w:val="false"/>
                  <w:sz w:val="20"/>
                  <w:u w:val="single"/>
                </w:rPr>
                <w:t>Item 1 – Financial Statements</w:t>
              </w:r>
            </w:hyperlink>
          </w:p>
        </w:tc>
        <w:tc>
          <w:tcPr>
            <w:tcW w:w="230" w:type="dxa"/>
            <w:tcBorders/>
            <w:vAlign w:val="center"/>
          </w:tcPr>
          <w:p>
            <w:pPr>
              <w:pStyle w:val="TableContents"/>
              <w:bidi w:val="0"/>
              <w:spacing w:before="0" w:after="0"/>
              <w:ind w:left="0" w:right="0" w:hanging="0"/>
              <w:jc w:val="center"/>
              <w:rPr/>
            </w:pPr>
            <w:hyperlink w:anchor="p1_i1_bs">
              <w:r>
                <w:rPr>
                  <w:rStyle w:val="InternetLink"/>
                  <w:rFonts w:ascii="Times New Roman" w:hAnsi="Times New Roman"/>
                  <w:caps w:val="false"/>
                  <w:smallCaps w:val="false"/>
                  <w:sz w:val="20"/>
                </w:rPr>
                <w:t>4</w:t>
              </w:r>
            </w:hyperlink>
          </w:p>
        </w:tc>
      </w:tr>
      <w:tr>
        <w:trPr/>
        <w:tc>
          <w:tcPr>
            <w:tcW w:w="7985" w:type="dxa"/>
            <w:tcBorders/>
            <w:vAlign w:val="center"/>
          </w:tcPr>
          <w:p>
            <w:pPr>
              <w:pStyle w:val="TableContents"/>
              <w:bidi w:val="0"/>
              <w:spacing w:before="0" w:after="0"/>
              <w:ind w:left="540" w:right="0" w:hanging="0"/>
              <w:jc w:val="left"/>
              <w:rPr/>
            </w:pPr>
            <w:hyperlink w:anchor="p1_i1_bs">
              <w:r>
                <w:rPr>
                  <w:rStyle w:val="InternetLink"/>
                  <w:rFonts w:ascii="Times New Roman" w:hAnsi="Times New Roman"/>
                  <w:caps w:val="false"/>
                  <w:smallCaps w:val="false"/>
                  <w:sz w:val="20"/>
                  <w:u w:val="single"/>
                </w:rPr>
                <w:t>Unaudited Consolidated Balance Sheets</w:t>
              </w:r>
            </w:hyperlink>
          </w:p>
        </w:tc>
        <w:tc>
          <w:tcPr>
            <w:tcW w:w="230" w:type="dxa"/>
            <w:tcBorders/>
            <w:vAlign w:val="center"/>
          </w:tcPr>
          <w:p>
            <w:pPr>
              <w:pStyle w:val="TableContents"/>
              <w:bidi w:val="0"/>
              <w:spacing w:before="0" w:after="0"/>
              <w:ind w:left="0" w:right="0" w:hanging="0"/>
              <w:jc w:val="center"/>
              <w:rPr/>
            </w:pPr>
            <w:hyperlink w:anchor="p1_i1_bs">
              <w:r>
                <w:rPr>
                  <w:rStyle w:val="InternetLink"/>
                  <w:rFonts w:ascii="Times New Roman" w:hAnsi="Times New Roman"/>
                  <w:caps w:val="false"/>
                  <w:smallCaps w:val="false"/>
                  <w:sz w:val="20"/>
                </w:rPr>
                <w:t>4</w:t>
              </w:r>
            </w:hyperlink>
          </w:p>
        </w:tc>
      </w:tr>
      <w:tr>
        <w:trPr/>
        <w:tc>
          <w:tcPr>
            <w:tcW w:w="7985" w:type="dxa"/>
            <w:tcBorders/>
            <w:vAlign w:val="center"/>
          </w:tcPr>
          <w:p>
            <w:pPr>
              <w:pStyle w:val="TableContents"/>
              <w:bidi w:val="0"/>
              <w:spacing w:before="0" w:after="0"/>
              <w:ind w:left="540" w:right="0" w:hanging="0"/>
              <w:jc w:val="left"/>
              <w:rPr/>
            </w:pPr>
            <w:hyperlink w:anchor="stm_ops">
              <w:r>
                <w:rPr>
                  <w:rStyle w:val="InternetLink"/>
                  <w:rFonts w:ascii="Times New Roman" w:hAnsi="Times New Roman"/>
                  <w:caps w:val="false"/>
                  <w:smallCaps w:val="false"/>
                  <w:sz w:val="20"/>
                  <w:u w:val="single"/>
                </w:rPr>
                <w:t>Unaudited Consolidated Statements of Operations</w:t>
              </w:r>
            </w:hyperlink>
          </w:p>
        </w:tc>
        <w:tc>
          <w:tcPr>
            <w:tcW w:w="230" w:type="dxa"/>
            <w:tcBorders/>
            <w:vAlign w:val="center"/>
          </w:tcPr>
          <w:p>
            <w:pPr>
              <w:pStyle w:val="TableContents"/>
              <w:bidi w:val="0"/>
              <w:spacing w:before="0" w:after="0"/>
              <w:ind w:left="0" w:right="0" w:hanging="0"/>
              <w:jc w:val="center"/>
              <w:rPr/>
            </w:pPr>
            <w:hyperlink w:anchor="stm_ops">
              <w:r>
                <w:rPr>
                  <w:rStyle w:val="InternetLink"/>
                  <w:rFonts w:ascii="Times New Roman" w:hAnsi="Times New Roman"/>
                  <w:caps w:val="false"/>
                  <w:smallCaps w:val="false"/>
                  <w:sz w:val="20"/>
                </w:rPr>
                <w:t>5</w:t>
              </w:r>
            </w:hyperlink>
          </w:p>
        </w:tc>
      </w:tr>
      <w:tr>
        <w:trPr/>
        <w:tc>
          <w:tcPr>
            <w:tcW w:w="7985" w:type="dxa"/>
            <w:tcBorders/>
            <w:vAlign w:val="center"/>
          </w:tcPr>
          <w:p>
            <w:pPr>
              <w:pStyle w:val="TableContents"/>
              <w:bidi w:val="0"/>
              <w:spacing w:before="0" w:after="0"/>
              <w:ind w:left="540" w:right="0" w:hanging="0"/>
              <w:jc w:val="left"/>
              <w:rPr/>
            </w:pPr>
            <w:hyperlink w:anchor="equity">
              <w:r>
                <w:rPr>
                  <w:rStyle w:val="InternetLink"/>
                  <w:rFonts w:ascii="Times New Roman" w:hAnsi="Times New Roman"/>
                  <w:caps w:val="false"/>
                  <w:smallCaps w:val="false"/>
                  <w:sz w:val="20"/>
                  <w:u w:val="single"/>
                </w:rPr>
                <w:t>Unaudited Consolidated Statements of Stockholders’ Equity</w:t>
              </w:r>
            </w:hyperlink>
          </w:p>
        </w:tc>
        <w:tc>
          <w:tcPr>
            <w:tcW w:w="230" w:type="dxa"/>
            <w:tcBorders/>
            <w:vAlign w:val="center"/>
          </w:tcPr>
          <w:p>
            <w:pPr>
              <w:pStyle w:val="TableContents"/>
              <w:bidi w:val="0"/>
              <w:spacing w:before="0" w:after="0"/>
              <w:ind w:left="0" w:right="0" w:hanging="0"/>
              <w:jc w:val="center"/>
              <w:rPr/>
            </w:pPr>
            <w:hyperlink w:anchor="equity">
              <w:r>
                <w:rPr>
                  <w:rStyle w:val="InternetLink"/>
                  <w:rFonts w:ascii="Times New Roman" w:hAnsi="Times New Roman"/>
                  <w:caps w:val="false"/>
                  <w:smallCaps w:val="false"/>
                  <w:sz w:val="20"/>
                </w:rPr>
                <w:t>6</w:t>
              </w:r>
            </w:hyperlink>
          </w:p>
        </w:tc>
      </w:tr>
      <w:tr>
        <w:trPr/>
        <w:tc>
          <w:tcPr>
            <w:tcW w:w="7985" w:type="dxa"/>
            <w:tcBorders/>
            <w:vAlign w:val="center"/>
          </w:tcPr>
          <w:p>
            <w:pPr>
              <w:pStyle w:val="TableContents"/>
              <w:bidi w:val="0"/>
              <w:spacing w:before="0" w:after="0"/>
              <w:ind w:left="540" w:right="0" w:hanging="0"/>
              <w:jc w:val="left"/>
              <w:rPr/>
            </w:pPr>
            <w:hyperlink w:anchor="comp_loss">
              <w:r>
                <w:rPr>
                  <w:rStyle w:val="InternetLink"/>
                  <w:rFonts w:ascii="Times New Roman" w:hAnsi="Times New Roman"/>
                  <w:caps w:val="false"/>
                  <w:smallCaps w:val="false"/>
                  <w:sz w:val="20"/>
                  <w:u w:val="single"/>
                </w:rPr>
                <w:t>Unaudited Consolidated Statements of Comprehensive Income (Loss)</w:t>
              </w:r>
            </w:hyperlink>
          </w:p>
        </w:tc>
        <w:tc>
          <w:tcPr>
            <w:tcW w:w="230" w:type="dxa"/>
            <w:tcBorders/>
            <w:vAlign w:val="center"/>
          </w:tcPr>
          <w:p>
            <w:pPr>
              <w:pStyle w:val="TableContents"/>
              <w:bidi w:val="0"/>
              <w:spacing w:before="0" w:after="0"/>
              <w:ind w:left="0" w:right="0" w:hanging="0"/>
              <w:jc w:val="center"/>
              <w:rPr/>
            </w:pPr>
            <w:hyperlink w:anchor="comp_loss">
              <w:r>
                <w:rPr>
                  <w:rStyle w:val="InternetLink"/>
                  <w:rFonts w:ascii="Times New Roman" w:hAnsi="Times New Roman"/>
                  <w:caps w:val="false"/>
                  <w:smallCaps w:val="false"/>
                  <w:sz w:val="20"/>
                </w:rPr>
                <w:t>7</w:t>
              </w:r>
            </w:hyperlink>
          </w:p>
        </w:tc>
      </w:tr>
      <w:tr>
        <w:trPr/>
        <w:tc>
          <w:tcPr>
            <w:tcW w:w="7985" w:type="dxa"/>
            <w:tcBorders/>
            <w:vAlign w:val="center"/>
          </w:tcPr>
          <w:p>
            <w:pPr>
              <w:pStyle w:val="TableContents"/>
              <w:bidi w:val="0"/>
              <w:spacing w:before="0" w:after="0"/>
              <w:ind w:left="540" w:right="0" w:hanging="0"/>
              <w:jc w:val="left"/>
              <w:rPr/>
            </w:pPr>
            <w:hyperlink w:anchor="cash_flows">
              <w:r>
                <w:rPr>
                  <w:rStyle w:val="InternetLink"/>
                  <w:rFonts w:ascii="Times New Roman" w:hAnsi="Times New Roman"/>
                  <w:caps w:val="false"/>
                  <w:smallCaps w:val="false"/>
                  <w:sz w:val="20"/>
                  <w:u w:val="single"/>
                </w:rPr>
                <w:t>Unaudited Consolidated Statements of Cash Flows</w:t>
              </w:r>
            </w:hyperlink>
          </w:p>
        </w:tc>
        <w:tc>
          <w:tcPr>
            <w:tcW w:w="230" w:type="dxa"/>
            <w:tcBorders/>
            <w:vAlign w:val="center"/>
          </w:tcPr>
          <w:p>
            <w:pPr>
              <w:pStyle w:val="TableContents"/>
              <w:bidi w:val="0"/>
              <w:spacing w:before="0" w:after="0"/>
              <w:ind w:left="0" w:right="0" w:hanging="0"/>
              <w:jc w:val="center"/>
              <w:rPr/>
            </w:pPr>
            <w:hyperlink w:anchor="cash_flows">
              <w:r>
                <w:rPr>
                  <w:rStyle w:val="InternetLink"/>
                  <w:rFonts w:ascii="Times New Roman" w:hAnsi="Times New Roman"/>
                  <w:caps w:val="false"/>
                  <w:smallCaps w:val="false"/>
                  <w:sz w:val="20"/>
                </w:rPr>
                <w:t>8</w:t>
              </w:r>
            </w:hyperlink>
          </w:p>
        </w:tc>
      </w:tr>
      <w:tr>
        <w:trPr/>
        <w:tc>
          <w:tcPr>
            <w:tcW w:w="7985" w:type="dxa"/>
            <w:tcBorders/>
            <w:vAlign w:val="center"/>
          </w:tcPr>
          <w:p>
            <w:pPr>
              <w:pStyle w:val="TableContents"/>
              <w:bidi w:val="0"/>
              <w:spacing w:before="0" w:after="0"/>
              <w:ind w:left="540" w:right="0" w:hanging="0"/>
              <w:jc w:val="left"/>
              <w:rPr/>
            </w:pPr>
            <w:hyperlink w:anchor="notes">
              <w:r>
                <w:rPr>
                  <w:rStyle w:val="InternetLink"/>
                  <w:rFonts w:ascii="Times New Roman" w:hAnsi="Times New Roman"/>
                  <w:caps w:val="false"/>
                  <w:smallCaps w:val="false"/>
                  <w:sz w:val="20"/>
                  <w:u w:val="single"/>
                </w:rPr>
                <w:t>Notes to Unaudited Consolidated Financial Statements</w:t>
              </w:r>
            </w:hyperlink>
          </w:p>
        </w:tc>
        <w:tc>
          <w:tcPr>
            <w:tcW w:w="230" w:type="dxa"/>
            <w:tcBorders/>
            <w:vAlign w:val="center"/>
          </w:tcPr>
          <w:p>
            <w:pPr>
              <w:pStyle w:val="TableContents"/>
              <w:bidi w:val="0"/>
              <w:spacing w:before="0" w:after="0"/>
              <w:ind w:left="0" w:right="0" w:hanging="0"/>
              <w:jc w:val="center"/>
              <w:rPr/>
            </w:pPr>
            <w:hyperlink w:anchor="notes">
              <w:r>
                <w:rPr>
                  <w:rStyle w:val="InternetLink"/>
                  <w:rFonts w:ascii="Times New Roman" w:hAnsi="Times New Roman"/>
                  <w:caps w:val="false"/>
                  <w:smallCaps w:val="false"/>
                  <w:sz w:val="20"/>
                </w:rPr>
                <w:t>9</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item_2">
              <w:r>
                <w:rPr>
                  <w:rStyle w:val="InternetLink"/>
                  <w:rFonts w:ascii="Times New Roman" w:hAnsi="Times New Roman"/>
                  <w:caps w:val="false"/>
                  <w:smallCaps w:val="false"/>
                  <w:sz w:val="20"/>
                  <w:u w:val="single"/>
                </w:rPr>
                <w:t>Item 2 – Management’s Discussion and Analysis of Financial Condition and Results of Operations</w:t>
              </w:r>
            </w:hyperlink>
          </w:p>
        </w:tc>
        <w:tc>
          <w:tcPr>
            <w:tcW w:w="230" w:type="dxa"/>
            <w:tcBorders/>
            <w:vAlign w:val="center"/>
          </w:tcPr>
          <w:p>
            <w:pPr>
              <w:pStyle w:val="TableContents"/>
              <w:bidi w:val="0"/>
              <w:spacing w:before="0" w:after="0"/>
              <w:ind w:left="0" w:right="0" w:hanging="0"/>
              <w:jc w:val="center"/>
              <w:rPr/>
            </w:pPr>
            <w:hyperlink w:anchor="item_2">
              <w:r>
                <w:rPr>
                  <w:rStyle w:val="InternetLink"/>
                  <w:rFonts w:ascii="Times New Roman" w:hAnsi="Times New Roman"/>
                  <w:caps w:val="false"/>
                  <w:smallCaps w:val="false"/>
                  <w:sz w:val="20"/>
                </w:rPr>
                <w:t>17</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item_3">
              <w:r>
                <w:rPr>
                  <w:rStyle w:val="InternetLink"/>
                  <w:rFonts w:ascii="Times New Roman" w:hAnsi="Times New Roman"/>
                  <w:caps w:val="false"/>
                  <w:smallCaps w:val="false"/>
                  <w:sz w:val="20"/>
                  <w:u w:val="single"/>
                </w:rPr>
                <w:t>Item 3 – Quantitative and Qualitative Disclosures about Market Risk</w:t>
              </w:r>
            </w:hyperlink>
          </w:p>
        </w:tc>
        <w:tc>
          <w:tcPr>
            <w:tcW w:w="230" w:type="dxa"/>
            <w:tcBorders/>
            <w:vAlign w:val="center"/>
          </w:tcPr>
          <w:p>
            <w:pPr>
              <w:pStyle w:val="TableContents"/>
              <w:bidi w:val="0"/>
              <w:spacing w:before="0" w:after="0"/>
              <w:ind w:left="0" w:right="0" w:hanging="0"/>
              <w:jc w:val="center"/>
              <w:rPr/>
            </w:pPr>
            <w:hyperlink w:anchor="item_3">
              <w:r>
                <w:rPr>
                  <w:rStyle w:val="InternetLink"/>
                  <w:rFonts w:ascii="Times New Roman" w:hAnsi="Times New Roman"/>
                  <w:caps w:val="false"/>
                  <w:smallCaps w:val="false"/>
                  <w:sz w:val="20"/>
                </w:rPr>
                <w:t>23</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item_4">
              <w:r>
                <w:rPr>
                  <w:rStyle w:val="InternetLink"/>
                  <w:rFonts w:ascii="Times New Roman" w:hAnsi="Times New Roman"/>
                  <w:caps w:val="false"/>
                  <w:smallCaps w:val="false"/>
                  <w:sz w:val="20"/>
                  <w:u w:val="single"/>
                </w:rPr>
                <w:t>Item 4 – Controls and Procedures</w:t>
              </w:r>
            </w:hyperlink>
          </w:p>
        </w:tc>
        <w:tc>
          <w:tcPr>
            <w:tcW w:w="230" w:type="dxa"/>
            <w:tcBorders/>
            <w:vAlign w:val="center"/>
          </w:tcPr>
          <w:p>
            <w:pPr>
              <w:pStyle w:val="TableContents"/>
              <w:bidi w:val="0"/>
              <w:spacing w:before="0" w:after="0"/>
              <w:ind w:left="0" w:right="0" w:hanging="0"/>
              <w:jc w:val="center"/>
              <w:rPr/>
            </w:pPr>
            <w:hyperlink w:anchor="item_4">
              <w:r>
                <w:rPr>
                  <w:rStyle w:val="InternetLink"/>
                  <w:rFonts w:ascii="Times New Roman" w:hAnsi="Times New Roman"/>
                  <w:caps w:val="false"/>
                  <w:smallCaps w:val="false"/>
                  <w:sz w:val="20"/>
                </w:rPr>
                <w:t>23</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0" w:right="0" w:hanging="0"/>
              <w:jc w:val="left"/>
              <w:rPr/>
            </w:pPr>
            <w:hyperlink w:anchor="p2">
              <w:r>
                <w:rPr>
                  <w:rStyle w:val="InternetLink"/>
                  <w:rFonts w:ascii="Times New Roman" w:hAnsi="Times New Roman"/>
                  <w:b/>
                  <w:caps w:val="false"/>
                  <w:smallCaps w:val="false"/>
                  <w:sz w:val="20"/>
                  <w:u w:val="single"/>
                </w:rPr>
                <w:t>PART II</w:t>
              </w:r>
            </w:hyperlink>
            <w:hyperlink w:anchor="p2">
              <w:r>
                <w:rPr>
                  <w:rStyle w:val="InternetLink"/>
                  <w:rFonts w:ascii="Times New Roman" w:hAnsi="Times New Roman"/>
                  <w:caps w:val="false"/>
                  <w:smallCaps w:val="false"/>
                  <w:sz w:val="20"/>
                  <w:u w:val="single"/>
                </w:rPr>
                <w:t> – </w:t>
              </w:r>
            </w:hyperlink>
            <w:hyperlink w:anchor="p2">
              <w:r>
                <w:rPr>
                  <w:rStyle w:val="InternetLink"/>
                  <w:rFonts w:ascii="Times New Roman" w:hAnsi="Times New Roman"/>
                  <w:b/>
                  <w:caps w:val="false"/>
                  <w:smallCaps w:val="false"/>
                  <w:sz w:val="20"/>
                  <w:u w:val="single"/>
                </w:rPr>
                <w:t>Other Information</w:t>
              </w:r>
            </w:hyperlink>
          </w:p>
        </w:tc>
        <w:tc>
          <w:tcPr>
            <w:tcW w:w="230" w:type="dxa"/>
            <w:tcBorders/>
            <w:vAlign w:val="center"/>
          </w:tcPr>
          <w:p>
            <w:pPr>
              <w:pStyle w:val="TableContents"/>
              <w:bidi w:val="0"/>
              <w:spacing w:before="0" w:after="0"/>
              <w:ind w:left="0" w:right="0" w:hanging="0"/>
              <w:jc w:val="center"/>
              <w:rPr/>
            </w:pPr>
            <w:hyperlink w:anchor="p2">
              <w:r>
                <w:rPr>
                  <w:rStyle w:val="InternetLink"/>
                  <w:rFonts w:ascii="Times New Roman" w:hAnsi="Times New Roman"/>
                  <w:caps w:val="false"/>
                  <w:smallCaps w:val="false"/>
                  <w:sz w:val="20"/>
                </w:rPr>
                <w:t>24</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p2_1">
              <w:r>
                <w:rPr>
                  <w:rStyle w:val="InternetLink"/>
                  <w:rFonts w:ascii="Times New Roman" w:hAnsi="Times New Roman"/>
                  <w:caps w:val="false"/>
                  <w:smallCaps w:val="false"/>
                  <w:sz w:val="20"/>
                  <w:u w:val="single"/>
                </w:rPr>
                <w:t>Item 1 – Legal Proceedings</w:t>
              </w:r>
            </w:hyperlink>
          </w:p>
        </w:tc>
        <w:tc>
          <w:tcPr>
            <w:tcW w:w="230" w:type="dxa"/>
            <w:tcBorders/>
            <w:vAlign w:val="center"/>
          </w:tcPr>
          <w:p>
            <w:pPr>
              <w:pStyle w:val="TableContents"/>
              <w:bidi w:val="0"/>
              <w:spacing w:before="0" w:after="0"/>
              <w:ind w:left="0" w:right="0" w:hanging="0"/>
              <w:jc w:val="center"/>
              <w:rPr/>
            </w:pPr>
            <w:hyperlink w:anchor="p2_1">
              <w:r>
                <w:rPr>
                  <w:rStyle w:val="InternetLink"/>
                  <w:rFonts w:ascii="Times New Roman" w:hAnsi="Times New Roman"/>
                  <w:caps w:val="false"/>
                  <w:smallCaps w:val="false"/>
                  <w:sz w:val="20"/>
                </w:rPr>
                <w:t>24</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p2_1a">
              <w:r>
                <w:rPr>
                  <w:rStyle w:val="InternetLink"/>
                  <w:rFonts w:ascii="Times New Roman" w:hAnsi="Times New Roman"/>
                  <w:caps w:val="false"/>
                  <w:smallCaps w:val="false"/>
                  <w:sz w:val="20"/>
                  <w:u w:val="single"/>
                </w:rPr>
                <w:t>Item 1A – Risk Factors</w:t>
              </w:r>
            </w:hyperlink>
          </w:p>
        </w:tc>
        <w:tc>
          <w:tcPr>
            <w:tcW w:w="230" w:type="dxa"/>
            <w:tcBorders/>
            <w:vAlign w:val="center"/>
          </w:tcPr>
          <w:p>
            <w:pPr>
              <w:pStyle w:val="TableContents"/>
              <w:bidi w:val="0"/>
              <w:spacing w:before="0" w:after="0"/>
              <w:ind w:left="0" w:right="0" w:hanging="0"/>
              <w:jc w:val="center"/>
              <w:rPr/>
            </w:pPr>
            <w:hyperlink w:anchor="p2_1a">
              <w:r>
                <w:rPr>
                  <w:rStyle w:val="InternetLink"/>
                  <w:rFonts w:ascii="Times New Roman" w:hAnsi="Times New Roman"/>
                  <w:caps w:val="false"/>
                  <w:smallCaps w:val="false"/>
                  <w:sz w:val="20"/>
                </w:rPr>
                <w:t>24</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p2_2">
              <w:r>
                <w:rPr>
                  <w:rStyle w:val="InternetLink"/>
                  <w:rFonts w:ascii="Times New Roman" w:hAnsi="Times New Roman"/>
                  <w:caps w:val="false"/>
                  <w:smallCaps w:val="false"/>
                  <w:sz w:val="20"/>
                  <w:u w:val="single"/>
                </w:rPr>
                <w:t>Item 2 – Unregistered Sales of Equity Securities and Use of Proceeds</w:t>
              </w:r>
            </w:hyperlink>
          </w:p>
        </w:tc>
        <w:tc>
          <w:tcPr>
            <w:tcW w:w="230" w:type="dxa"/>
            <w:tcBorders/>
            <w:vAlign w:val="center"/>
          </w:tcPr>
          <w:p>
            <w:pPr>
              <w:pStyle w:val="TableContents"/>
              <w:bidi w:val="0"/>
              <w:spacing w:before="0" w:after="0"/>
              <w:ind w:left="0" w:right="0" w:hanging="0"/>
              <w:jc w:val="center"/>
              <w:rPr/>
            </w:pPr>
            <w:hyperlink w:anchor="p2_2">
              <w:r>
                <w:rPr>
                  <w:rStyle w:val="InternetLink"/>
                  <w:rFonts w:ascii="Times New Roman" w:hAnsi="Times New Roman"/>
                  <w:caps w:val="false"/>
                  <w:smallCaps w:val="false"/>
                  <w:sz w:val="20"/>
                </w:rPr>
                <w:t>24</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p2_3">
              <w:r>
                <w:rPr>
                  <w:rStyle w:val="InternetLink"/>
                  <w:rFonts w:ascii="Times New Roman" w:hAnsi="Times New Roman"/>
                  <w:caps w:val="false"/>
                  <w:smallCaps w:val="false"/>
                  <w:sz w:val="20"/>
                  <w:u w:val="single"/>
                </w:rPr>
                <w:t>Item 3 – Defaults Upon Senior Securities</w:t>
              </w:r>
            </w:hyperlink>
          </w:p>
        </w:tc>
        <w:tc>
          <w:tcPr>
            <w:tcW w:w="230" w:type="dxa"/>
            <w:tcBorders/>
            <w:vAlign w:val="center"/>
          </w:tcPr>
          <w:p>
            <w:pPr>
              <w:pStyle w:val="TableContents"/>
              <w:bidi w:val="0"/>
              <w:spacing w:before="0" w:after="0"/>
              <w:ind w:left="0" w:right="0" w:hanging="0"/>
              <w:jc w:val="center"/>
              <w:rPr/>
            </w:pPr>
            <w:hyperlink w:anchor="p2_3">
              <w:r>
                <w:rPr>
                  <w:rStyle w:val="InternetLink"/>
                  <w:rFonts w:ascii="Times New Roman" w:hAnsi="Times New Roman"/>
                  <w:caps w:val="false"/>
                  <w:smallCaps w:val="false"/>
                  <w:sz w:val="20"/>
                </w:rPr>
                <w:t>24</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p2_4">
              <w:r>
                <w:rPr>
                  <w:rStyle w:val="InternetLink"/>
                  <w:rFonts w:ascii="Times New Roman" w:hAnsi="Times New Roman"/>
                  <w:caps w:val="false"/>
                  <w:smallCaps w:val="false"/>
                  <w:sz w:val="20"/>
                  <w:u w:val="single"/>
                </w:rPr>
                <w:t>Item 4 – Mine Safety Disclosures</w:t>
              </w:r>
            </w:hyperlink>
          </w:p>
        </w:tc>
        <w:tc>
          <w:tcPr>
            <w:tcW w:w="230" w:type="dxa"/>
            <w:tcBorders/>
            <w:vAlign w:val="center"/>
          </w:tcPr>
          <w:p>
            <w:pPr>
              <w:pStyle w:val="TableContents"/>
              <w:bidi w:val="0"/>
              <w:spacing w:before="0" w:after="0"/>
              <w:ind w:left="0" w:right="0" w:hanging="0"/>
              <w:jc w:val="center"/>
              <w:rPr/>
            </w:pPr>
            <w:hyperlink w:anchor="p2_4">
              <w:r>
                <w:rPr>
                  <w:rStyle w:val="InternetLink"/>
                  <w:rFonts w:ascii="Times New Roman" w:hAnsi="Times New Roman"/>
                  <w:caps w:val="false"/>
                  <w:smallCaps w:val="false"/>
                  <w:sz w:val="20"/>
                </w:rPr>
                <w:t>24</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p2_5">
              <w:r>
                <w:rPr>
                  <w:rStyle w:val="InternetLink"/>
                  <w:rFonts w:ascii="Times New Roman" w:hAnsi="Times New Roman"/>
                  <w:caps w:val="false"/>
                  <w:smallCaps w:val="false"/>
                  <w:sz w:val="20"/>
                  <w:u w:val="single"/>
                </w:rPr>
                <w:t>Item 5 – Other Information</w:t>
              </w:r>
            </w:hyperlink>
          </w:p>
        </w:tc>
        <w:tc>
          <w:tcPr>
            <w:tcW w:w="230" w:type="dxa"/>
            <w:tcBorders/>
            <w:vAlign w:val="center"/>
          </w:tcPr>
          <w:p>
            <w:pPr>
              <w:pStyle w:val="TableContents"/>
              <w:bidi w:val="0"/>
              <w:spacing w:before="0" w:after="0"/>
              <w:ind w:left="0" w:right="0" w:hanging="0"/>
              <w:jc w:val="center"/>
              <w:rPr/>
            </w:pPr>
            <w:hyperlink w:anchor="p2_5">
              <w:r>
                <w:rPr>
                  <w:rStyle w:val="InternetLink"/>
                  <w:rFonts w:ascii="Times New Roman" w:hAnsi="Times New Roman"/>
                  <w:caps w:val="false"/>
                  <w:smallCaps w:val="false"/>
                  <w:sz w:val="20"/>
                </w:rPr>
                <w:t>24</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180" w:right="0" w:hanging="0"/>
              <w:jc w:val="left"/>
              <w:rPr/>
            </w:pPr>
            <w:hyperlink w:anchor="p2_6">
              <w:r>
                <w:rPr>
                  <w:rStyle w:val="InternetLink"/>
                  <w:rFonts w:ascii="Times New Roman" w:hAnsi="Times New Roman"/>
                  <w:caps w:val="false"/>
                  <w:smallCaps w:val="false"/>
                  <w:sz w:val="20"/>
                  <w:u w:val="single"/>
                </w:rPr>
                <w:t>Item 6 – Exhibits</w:t>
              </w:r>
            </w:hyperlink>
          </w:p>
        </w:tc>
        <w:tc>
          <w:tcPr>
            <w:tcW w:w="230" w:type="dxa"/>
            <w:tcBorders/>
            <w:vAlign w:val="center"/>
          </w:tcPr>
          <w:p>
            <w:pPr>
              <w:pStyle w:val="TableContents"/>
              <w:bidi w:val="0"/>
              <w:spacing w:before="0" w:after="0"/>
              <w:ind w:left="0" w:right="0" w:hanging="0"/>
              <w:jc w:val="center"/>
              <w:rPr/>
            </w:pPr>
            <w:hyperlink w:anchor="p2_6">
              <w:r>
                <w:rPr>
                  <w:rStyle w:val="InternetLink"/>
                  <w:rFonts w:ascii="Times New Roman" w:hAnsi="Times New Roman"/>
                  <w:caps w:val="false"/>
                  <w:smallCaps w:val="false"/>
                  <w:sz w:val="20"/>
                </w:rPr>
                <w:t>24</w:t>
              </w:r>
            </w:hyperlink>
          </w:p>
        </w:tc>
      </w:tr>
      <w:tr>
        <w:trPr/>
        <w:tc>
          <w:tcPr>
            <w:tcW w:w="7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0"/>
              <w:ind w:left="0" w:right="0" w:hanging="0"/>
              <w:jc w:val="left"/>
              <w:rPr/>
            </w:pPr>
            <w:hyperlink w:anchor="sig">
              <w:r>
                <w:rPr>
                  <w:rStyle w:val="InternetLink"/>
                  <w:rFonts w:ascii="Times New Roman" w:hAnsi="Times New Roman"/>
                  <w:caps w:val="false"/>
                  <w:smallCaps w:val="false"/>
                  <w:sz w:val="20"/>
                  <w:u w:val="single"/>
                </w:rPr>
                <w:t>Signatures</w:t>
              </w:r>
            </w:hyperlink>
          </w:p>
        </w:tc>
        <w:tc>
          <w:tcPr>
            <w:tcW w:w="230" w:type="dxa"/>
            <w:tcBorders/>
            <w:vAlign w:val="center"/>
          </w:tcPr>
          <w:p>
            <w:pPr>
              <w:pStyle w:val="TableContents"/>
              <w:bidi w:val="0"/>
              <w:spacing w:before="0" w:after="0"/>
              <w:ind w:left="0" w:right="0" w:hanging="0"/>
              <w:jc w:val="center"/>
              <w:rPr/>
            </w:pPr>
            <w:hyperlink w:anchor="sig">
              <w:r>
                <w:rPr>
                  <w:rStyle w:val="InternetLink"/>
                  <w:rFonts w:ascii="Times New Roman" w:hAnsi="Times New Roman"/>
                  <w:caps w:val="false"/>
                  <w:smallCaps w:val="false"/>
                  <w:sz w:val="20"/>
                </w:rPr>
                <w:t>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1_i1_bs"/>
      <w:bookmarkEnd w:id="3"/>
      <w:r>
        <w:rPr>
          <w:rFonts w:ascii="Times New Roman" w:hAnsi="Times New Roman"/>
          <w:b/>
          <w:caps w:val="false"/>
          <w:smallCaps w:val="false"/>
          <w:sz w:val="20"/>
        </w:rPr>
        <w:t>PART 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FINANCIAL INFORMATION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1</w:t>
      </w:r>
      <w:r>
        <w:rPr>
          <w:rFonts w:ascii="Times New Roman" w:hAnsi="Times New Roman"/>
          <w:caps w:val="false"/>
          <w:smallCaps w:val="false"/>
          <w:sz w:val="20"/>
        </w:rPr>
        <w:t> – </w:t>
      </w:r>
      <w:r>
        <w:rPr>
          <w:rFonts w:ascii="Times New Roman" w:hAnsi="Times New Roman"/>
          <w:b/>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par value and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02"/>
        <w:gridCol w:w="60"/>
        <w:gridCol w:w="125"/>
        <w:gridCol w:w="755"/>
        <w:gridCol w:w="80"/>
        <w:gridCol w:w="60"/>
        <w:gridCol w:w="147"/>
        <w:gridCol w:w="894"/>
        <w:gridCol w:w="82"/>
      </w:tblGrid>
      <w:tr>
        <w:trPr/>
        <w:tc>
          <w:tcPr>
            <w:tcW w:w="80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82" w:type="dxa"/>
            <w:tcBorders/>
            <w:vAlign w:val="center"/>
          </w:tcPr>
          <w:p>
            <w:pPr>
              <w:pStyle w:val="TableContents"/>
              <w:bidi w:val="0"/>
              <w:spacing w:before="0" w:after="283"/>
              <w:jc w:val="left"/>
              <w:rPr/>
            </w:pPr>
            <w:r>
              <w:rPr/>
              <w:t> </w:t>
            </w:r>
          </w:p>
        </w:tc>
      </w:tr>
      <w:tr>
        <w:trPr/>
        <w:tc>
          <w:tcPr>
            <w:tcW w:w="80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2" w:type="dxa"/>
            <w:tcBorders/>
            <w:vAlign w:val="center"/>
          </w:tcPr>
          <w:p>
            <w:pPr>
              <w:pStyle w:val="TableContents"/>
              <w:bidi w:val="0"/>
              <w:spacing w:before="0" w:after="283"/>
              <w:jc w:val="left"/>
              <w:rPr/>
            </w:pPr>
            <w:r>
              <w:rPr/>
              <w:t> </w:t>
            </w:r>
          </w:p>
        </w:tc>
      </w:tr>
      <w:tr>
        <w:trPr/>
        <w:tc>
          <w:tcPr>
            <w:tcW w:w="800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0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0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6,006</w:t>
            </w:r>
          </w:p>
        </w:tc>
        <w:tc>
          <w:tcPr>
            <w:tcW w:w="82" w:type="dxa"/>
            <w:tcBorders/>
            <w:shd w:fill="FFFFFF" w:val="clear"/>
            <w:vAlign w:val="center"/>
          </w:tcPr>
          <w:p>
            <w:pPr>
              <w:pStyle w:val="TableContents"/>
              <w:bidi w:val="0"/>
              <w:spacing w:before="0" w:after="283"/>
              <w:jc w:val="left"/>
              <w:rPr/>
            </w:pPr>
            <w:r>
              <w:rPr/>
              <w:t> </w:t>
            </w:r>
          </w:p>
        </w:tc>
      </w:tr>
      <w:tr>
        <w:trPr/>
        <w:tc>
          <w:tcPr>
            <w:tcW w:w="800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2" w:type="dxa"/>
            <w:tcBorders/>
            <w:shd w:fill="CCEEFF" w:val="clear"/>
            <w:vAlign w:val="center"/>
          </w:tcPr>
          <w:p>
            <w:pPr>
              <w:pStyle w:val="TableContents"/>
              <w:bidi w:val="0"/>
              <w:spacing w:before="0" w:after="283"/>
              <w:jc w:val="left"/>
              <w:rPr/>
            </w:pPr>
            <w:r>
              <w:rPr/>
              <w:t> </w:t>
            </w:r>
          </w:p>
        </w:tc>
      </w:tr>
      <w:tr>
        <w:trPr/>
        <w:tc>
          <w:tcPr>
            <w:tcW w:w="800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short term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9,453</w:t>
            </w:r>
          </w:p>
        </w:tc>
        <w:tc>
          <w:tcPr>
            <w:tcW w:w="82" w:type="dxa"/>
            <w:tcBorders/>
            <w:shd w:fill="FFFFFF" w:val="clear"/>
            <w:vAlign w:val="center"/>
          </w:tcPr>
          <w:p>
            <w:pPr>
              <w:pStyle w:val="TableContents"/>
              <w:bidi w:val="0"/>
              <w:spacing w:before="0" w:after="283"/>
              <w:jc w:val="left"/>
              <w:rPr/>
            </w:pPr>
            <w:r>
              <w:rPr/>
              <w:t> </w:t>
            </w:r>
          </w:p>
        </w:tc>
      </w:tr>
      <w:tr>
        <w:trPr/>
        <w:tc>
          <w:tcPr>
            <w:tcW w:w="800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2" w:type="dxa"/>
            <w:tcBorders/>
            <w:shd w:fill="CCEEFF" w:val="clear"/>
            <w:vAlign w:val="center"/>
          </w:tcPr>
          <w:p>
            <w:pPr>
              <w:pStyle w:val="TableContents"/>
              <w:bidi w:val="0"/>
              <w:spacing w:before="0" w:after="283"/>
              <w:jc w:val="left"/>
              <w:rPr/>
            </w:pPr>
            <w:r>
              <w:rPr/>
              <w:t> </w:t>
            </w:r>
          </w:p>
        </w:tc>
      </w:tr>
      <w:tr>
        <w:trPr/>
        <w:tc>
          <w:tcPr>
            <w:tcW w:w="800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2" w:type="dxa"/>
            <w:tcBorders/>
            <w:shd w:fill="FFFFFF" w:val="clear"/>
            <w:vAlign w:val="center"/>
          </w:tcPr>
          <w:p>
            <w:pPr>
              <w:pStyle w:val="TableContents"/>
              <w:bidi w:val="0"/>
              <w:spacing w:before="0" w:after="283"/>
              <w:jc w:val="left"/>
              <w:rPr/>
            </w:pPr>
            <w:r>
              <w:rPr/>
              <w:t> </w:t>
            </w:r>
          </w:p>
        </w:tc>
      </w:tr>
      <w:tr>
        <w:trPr/>
        <w:tc>
          <w:tcPr>
            <w:tcW w:w="800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p>
        </w:tc>
        <w:tc>
          <w:tcPr>
            <w:tcW w:w="82" w:type="dxa"/>
            <w:tcBorders/>
            <w:shd w:fill="CCEEFF" w:val="clear"/>
            <w:vAlign w:val="center"/>
          </w:tcPr>
          <w:p>
            <w:pPr>
              <w:pStyle w:val="TableContents"/>
              <w:bidi w:val="0"/>
              <w:spacing w:before="0" w:after="283"/>
              <w:jc w:val="left"/>
              <w:rPr/>
            </w:pPr>
            <w:r>
              <w:rPr/>
              <w:t> </w:t>
            </w:r>
          </w:p>
        </w:tc>
      </w:tr>
      <w:tr>
        <w:trPr/>
        <w:tc>
          <w:tcPr>
            <w:tcW w:w="800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16,117</w:t>
            </w:r>
          </w:p>
        </w:tc>
        <w:tc>
          <w:tcPr>
            <w:tcW w:w="82" w:type="dxa"/>
            <w:tcBorders/>
            <w:shd w:fill="FFFFFF" w:val="clear"/>
            <w:vAlign w:val="center"/>
          </w:tcPr>
          <w:p>
            <w:pPr>
              <w:pStyle w:val="TableContents"/>
              <w:bidi w:val="0"/>
              <w:spacing w:before="0" w:after="283"/>
              <w:jc w:val="left"/>
              <w:rPr/>
            </w:pPr>
            <w:r>
              <w:rPr/>
              <w:t> </w:t>
            </w:r>
          </w:p>
        </w:tc>
      </w:tr>
      <w:tr>
        <w:trPr/>
        <w:tc>
          <w:tcPr>
            <w:tcW w:w="800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long term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6,877</w:t>
            </w:r>
          </w:p>
        </w:tc>
        <w:tc>
          <w:tcPr>
            <w:tcW w:w="82" w:type="dxa"/>
            <w:tcBorders/>
            <w:shd w:fill="CCEEFF" w:val="clear"/>
            <w:vAlign w:val="center"/>
          </w:tcPr>
          <w:p>
            <w:pPr>
              <w:pStyle w:val="TableContents"/>
              <w:bidi w:val="0"/>
              <w:spacing w:before="0" w:after="283"/>
              <w:jc w:val="left"/>
              <w:rPr/>
            </w:pPr>
            <w:r>
              <w:rPr/>
              <w:t> </w:t>
            </w:r>
          </w:p>
        </w:tc>
      </w:tr>
      <w:tr>
        <w:trPr/>
        <w:tc>
          <w:tcPr>
            <w:tcW w:w="800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7,357</w:t>
            </w:r>
          </w:p>
        </w:tc>
        <w:tc>
          <w:tcPr>
            <w:tcW w:w="82" w:type="dxa"/>
            <w:tcBorders/>
            <w:shd w:fill="FFFFFF" w:val="clear"/>
            <w:vAlign w:val="center"/>
          </w:tcPr>
          <w:p>
            <w:pPr>
              <w:pStyle w:val="TableContents"/>
              <w:bidi w:val="0"/>
              <w:spacing w:before="0" w:after="283"/>
              <w:jc w:val="left"/>
              <w:rPr/>
            </w:pPr>
            <w:r>
              <w:rPr/>
              <w:t> </w:t>
            </w:r>
          </w:p>
        </w:tc>
      </w:tr>
      <w:tr>
        <w:trPr/>
        <w:tc>
          <w:tcPr>
            <w:tcW w:w="800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 and trademarks,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2" w:type="dxa"/>
            <w:tcBorders/>
            <w:shd w:fill="CCEEFF" w:val="clear"/>
            <w:vAlign w:val="center"/>
          </w:tcPr>
          <w:p>
            <w:pPr>
              <w:pStyle w:val="TableContents"/>
              <w:bidi w:val="0"/>
              <w:spacing w:before="0" w:after="283"/>
              <w:jc w:val="left"/>
              <w:rPr/>
            </w:pPr>
            <w:r>
              <w:rPr/>
              <w:t> </w:t>
            </w:r>
          </w:p>
        </w:tc>
      </w:tr>
      <w:tr>
        <w:trPr/>
        <w:tc>
          <w:tcPr>
            <w:tcW w:w="800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2" w:type="dxa"/>
            <w:tcBorders/>
            <w:shd w:fill="FFFFFF" w:val="clear"/>
            <w:vAlign w:val="center"/>
          </w:tcPr>
          <w:p>
            <w:pPr>
              <w:pStyle w:val="TableContents"/>
              <w:bidi w:val="0"/>
              <w:spacing w:before="0" w:after="283"/>
              <w:jc w:val="left"/>
              <w:rPr/>
            </w:pPr>
            <w:r>
              <w:rPr/>
              <w:t> </w:t>
            </w:r>
          </w:p>
        </w:tc>
      </w:tr>
      <w:tr>
        <w:trPr/>
        <w:tc>
          <w:tcPr>
            <w:tcW w:w="800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30,400</w:t>
            </w:r>
          </w:p>
        </w:tc>
        <w:tc>
          <w:tcPr>
            <w:tcW w:w="82" w:type="dxa"/>
            <w:tcBorders/>
            <w:shd w:fill="CCEEFF" w:val="clear"/>
            <w:vAlign w:val="center"/>
          </w:tcPr>
          <w:p>
            <w:pPr>
              <w:pStyle w:val="TableContents"/>
              <w:bidi w:val="0"/>
              <w:spacing w:before="0" w:after="283"/>
              <w:jc w:val="left"/>
              <w:rPr/>
            </w:pPr>
            <w:r>
              <w:rPr/>
              <w:t> </w:t>
            </w:r>
          </w:p>
        </w:tc>
      </w:tr>
      <w:tr>
        <w:trPr/>
        <w:tc>
          <w:tcPr>
            <w:tcW w:w="80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0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0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0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82" w:type="dxa"/>
            <w:tcBorders/>
            <w:shd w:fill="FFFFFF" w:val="clear"/>
            <w:vAlign w:val="center"/>
          </w:tcPr>
          <w:p>
            <w:pPr>
              <w:pStyle w:val="TableContents"/>
              <w:bidi w:val="0"/>
              <w:spacing w:before="0" w:after="283"/>
              <w:jc w:val="left"/>
              <w:rPr/>
            </w:pPr>
            <w:r>
              <w:rPr/>
              <w:t> </w:t>
            </w:r>
          </w:p>
        </w:tc>
      </w:tr>
      <w:tr>
        <w:trPr/>
        <w:tc>
          <w:tcPr>
            <w:tcW w:w="800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82" w:type="dxa"/>
            <w:tcBorders/>
            <w:shd w:fill="CCEEFF" w:val="clear"/>
            <w:vAlign w:val="center"/>
          </w:tcPr>
          <w:p>
            <w:pPr>
              <w:pStyle w:val="TableContents"/>
              <w:bidi w:val="0"/>
              <w:spacing w:before="0" w:after="283"/>
              <w:jc w:val="left"/>
              <w:rPr/>
            </w:pPr>
            <w:r>
              <w:rPr/>
              <w:t> </w:t>
            </w:r>
          </w:p>
        </w:tc>
      </w:tr>
      <w:tr>
        <w:trPr/>
        <w:tc>
          <w:tcPr>
            <w:tcW w:w="800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w:t>
            </w:r>
          </w:p>
        </w:tc>
        <w:tc>
          <w:tcPr>
            <w:tcW w:w="82" w:type="dxa"/>
            <w:tcBorders/>
            <w:shd w:fill="FFFFFF" w:val="clear"/>
            <w:vAlign w:val="center"/>
          </w:tcPr>
          <w:p>
            <w:pPr>
              <w:pStyle w:val="TableContents"/>
              <w:bidi w:val="0"/>
              <w:spacing w:before="0" w:after="283"/>
              <w:jc w:val="left"/>
              <w:rPr/>
            </w:pPr>
            <w:r>
              <w:rPr/>
              <w:t> </w:t>
            </w:r>
          </w:p>
        </w:tc>
      </w:tr>
      <w:tr>
        <w:trPr/>
        <w:tc>
          <w:tcPr>
            <w:tcW w:w="80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w:t>
            </w:r>
          </w:p>
        </w:tc>
        <w:tc>
          <w:tcPr>
            <w:tcW w:w="82" w:type="dxa"/>
            <w:tcBorders/>
            <w:shd w:fill="CCEEFF" w:val="clear"/>
            <w:vAlign w:val="center"/>
          </w:tcPr>
          <w:p>
            <w:pPr>
              <w:pStyle w:val="TableContents"/>
              <w:bidi w:val="0"/>
              <w:spacing w:before="0" w:after="283"/>
              <w:jc w:val="left"/>
              <w:rPr/>
            </w:pPr>
            <w:r>
              <w:rPr/>
              <w:t> </w:t>
            </w:r>
          </w:p>
        </w:tc>
      </w:tr>
      <w:tr>
        <w:trPr/>
        <w:tc>
          <w:tcPr>
            <w:tcW w:w="80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0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w:t>
            </w:r>
          </w:p>
        </w:tc>
        <w:tc>
          <w:tcPr>
            <w:tcW w:w="82" w:type="dxa"/>
            <w:tcBorders/>
            <w:shd w:fill="CCEEFF" w:val="clear"/>
            <w:vAlign w:val="center"/>
          </w:tcPr>
          <w:p>
            <w:pPr>
              <w:pStyle w:val="TableContents"/>
              <w:bidi w:val="0"/>
              <w:spacing w:before="0" w:after="283"/>
              <w:jc w:val="left"/>
              <w:rPr/>
            </w:pPr>
            <w:r>
              <w:rPr/>
              <w:t> </w:t>
            </w:r>
          </w:p>
        </w:tc>
      </w:tr>
      <w:tr>
        <w:trPr/>
        <w:tc>
          <w:tcPr>
            <w:tcW w:w="80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0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0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1,100,000,000 shares authorized; 917,285,149 and 917,285,149 shares issued and outstanding at June 30,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w:t>
            </w:r>
          </w:p>
        </w:tc>
        <w:tc>
          <w:tcPr>
            <w:tcW w:w="82" w:type="dxa"/>
            <w:tcBorders/>
            <w:shd w:fill="FFFFFF" w:val="clear"/>
            <w:vAlign w:val="center"/>
          </w:tcPr>
          <w:p>
            <w:pPr>
              <w:pStyle w:val="TableContents"/>
              <w:bidi w:val="0"/>
              <w:spacing w:before="0" w:after="283"/>
              <w:jc w:val="left"/>
              <w:rPr/>
            </w:pPr>
            <w:r>
              <w:rPr/>
              <w:t> </w:t>
            </w:r>
          </w:p>
        </w:tc>
      </w:tr>
      <w:tr>
        <w:trPr/>
        <w:tc>
          <w:tcPr>
            <w:tcW w:w="800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18,179</w:t>
            </w:r>
          </w:p>
        </w:tc>
        <w:tc>
          <w:tcPr>
            <w:tcW w:w="82" w:type="dxa"/>
            <w:tcBorders/>
            <w:shd w:fill="CCEEFF" w:val="clear"/>
            <w:vAlign w:val="center"/>
          </w:tcPr>
          <w:p>
            <w:pPr>
              <w:pStyle w:val="TableContents"/>
              <w:bidi w:val="0"/>
              <w:spacing w:before="0" w:after="283"/>
              <w:jc w:val="left"/>
              <w:rPr/>
            </w:pPr>
            <w:r>
              <w:rPr/>
              <w:t> </w:t>
            </w:r>
          </w:p>
        </w:tc>
      </w:tr>
      <w:tr>
        <w:trPr/>
        <w:tc>
          <w:tcPr>
            <w:tcW w:w="800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288,357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288,270</w:t>
            </w:r>
          </w:p>
        </w:tc>
        <w:tc>
          <w:tcPr>
            <w:tcW w:w="82" w:type="dxa"/>
            <w:tcBorders/>
            <w:shd w:fill="FFFFFF" w:val="clear"/>
            <w:vAlign w:val="center"/>
          </w:tcPr>
          <w:p>
            <w:pPr>
              <w:pStyle w:val="TableContents"/>
              <w:bidi w:val="0"/>
              <w:spacing w:before="0" w:after="283"/>
              <w:jc w:val="left"/>
              <w:rPr/>
            </w:pPr>
            <w:r>
              <w:rPr/>
              <w:t> </w:t>
            </w:r>
          </w:p>
        </w:tc>
      </w:tr>
      <w:tr>
        <w:trPr/>
        <w:tc>
          <w:tcPr>
            <w:tcW w:w="800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(279,345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(278,253</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0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2" w:type="dxa"/>
            <w:tcBorders/>
            <w:shd w:fill="FFFFFF" w:val="clear"/>
            <w:vAlign w:val="center"/>
          </w:tcPr>
          <w:p>
            <w:pPr>
              <w:pStyle w:val="TableContents"/>
              <w:bidi w:val="0"/>
              <w:spacing w:before="0" w:after="283"/>
              <w:jc w:val="left"/>
              <w:rPr/>
            </w:pPr>
            <w:r>
              <w:rPr/>
              <w:t> </w:t>
            </w:r>
          </w:p>
        </w:tc>
      </w:tr>
      <w:tr>
        <w:trPr/>
        <w:tc>
          <w:tcPr>
            <w:tcW w:w="800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 in subsidiary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0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29,140</w:t>
            </w:r>
          </w:p>
        </w:tc>
        <w:tc>
          <w:tcPr>
            <w:tcW w:w="82" w:type="dxa"/>
            <w:tcBorders/>
            <w:shd w:fill="FFFFFF" w:val="clear"/>
            <w:vAlign w:val="center"/>
          </w:tcPr>
          <w:p>
            <w:pPr>
              <w:pStyle w:val="TableContents"/>
              <w:bidi w:val="0"/>
              <w:spacing w:before="0" w:after="283"/>
              <w:jc w:val="left"/>
              <w:rPr/>
            </w:pPr>
            <w:r>
              <w:rPr/>
              <w:t> </w:t>
            </w:r>
          </w:p>
        </w:tc>
      </w:tr>
      <w:tr>
        <w:trPr/>
        <w:tc>
          <w:tcPr>
            <w:tcW w:w="80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0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shareholders'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30,400</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4" w:name="stm_ops"/>
      <w:bookmarkEnd w:id="4"/>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25"/>
        <w:gridCol w:w="60"/>
        <w:gridCol w:w="125"/>
        <w:gridCol w:w="1055"/>
        <w:gridCol w:w="80"/>
        <w:gridCol w:w="60"/>
        <w:gridCol w:w="125"/>
        <w:gridCol w:w="1055"/>
        <w:gridCol w:w="80"/>
        <w:gridCol w:w="60"/>
        <w:gridCol w:w="125"/>
        <w:gridCol w:w="1055"/>
        <w:gridCol w:w="80"/>
        <w:gridCol w:w="60"/>
        <w:gridCol w:w="125"/>
        <w:gridCol w:w="1055"/>
        <w:gridCol w:w="80"/>
      </w:tblGrid>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8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Licensing and royalties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8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marketing,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w:t>
            </w:r>
          </w:p>
        </w:tc>
        <w:tc>
          <w:tcPr>
            <w:tcW w:w="8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w:t>
            </w:r>
          </w:p>
        </w:tc>
        <w:tc>
          <w:tcPr>
            <w:tcW w:w="8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8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w:t>
            </w:r>
          </w:p>
        </w:tc>
        <w:tc>
          <w:tcPr>
            <w:tcW w:w="8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Liquidmetal Technologies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common share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common share attributable to Liquidmetal Technologies shareholders, basic and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weighted average shares -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917,285,149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917,285,149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917,285,149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917,285,149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5" w:name="equity"/>
      <w:bookmarkEnd w:id="5"/>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4"/>
        <w:gridCol w:w="60"/>
        <w:gridCol w:w="299"/>
        <w:gridCol w:w="400"/>
        <w:gridCol w:w="60"/>
        <w:gridCol w:w="60"/>
        <w:gridCol w:w="60"/>
        <w:gridCol w:w="920"/>
        <w:gridCol w:w="60"/>
        <w:gridCol w:w="60"/>
        <w:gridCol w:w="182"/>
        <w:gridCol w:w="483"/>
        <w:gridCol w:w="60"/>
        <w:gridCol w:w="60"/>
        <w:gridCol w:w="158"/>
        <w:gridCol w:w="748"/>
        <w:gridCol w:w="60"/>
        <w:gridCol w:w="60"/>
        <w:gridCol w:w="120"/>
        <w:gridCol w:w="665"/>
        <w:gridCol w:w="60"/>
        <w:gridCol w:w="60"/>
        <w:gridCol w:w="132"/>
        <w:gridCol w:w="803"/>
        <w:gridCol w:w="80"/>
        <w:gridCol w:w="60"/>
        <w:gridCol w:w="294"/>
        <w:gridCol w:w="780"/>
        <w:gridCol w:w="80"/>
        <w:gridCol w:w="60"/>
        <w:gridCol w:w="238"/>
        <w:gridCol w:w="565"/>
        <w:gridCol w:w="80"/>
        <w:gridCol w:w="60"/>
        <w:gridCol w:w="110"/>
        <w:gridCol w:w="515"/>
        <w:gridCol w:w="99"/>
      </w:tblGrid>
      <w:tr>
        <w:trPr/>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left"/>
              <w:rPr/>
            </w:pPr>
            <w:r>
              <w:rPr/>
              <w:t> </w:t>
            </w:r>
          </w:p>
        </w:tc>
      </w:tr>
      <w:tr>
        <w:trPr/>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part of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other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xml:space="preserve">Non-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left"/>
              <w:rPr/>
            </w:pPr>
            <w:r>
              <w:rPr/>
              <w:t> </w:t>
            </w:r>
          </w:p>
        </w:tc>
      </w:tr>
      <w:tr>
        <w:trPr/>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Preferred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6"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Additional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comprehensive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3"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 xml:space="preserve">controlling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rStyle w:val="Emphasis"/>
              </w:rPr>
              <w:t> </w:t>
            </w:r>
          </w:p>
        </w:tc>
        <w:tc>
          <w:tcPr>
            <w:tcW w:w="99" w:type="dxa"/>
            <w:tcBorders/>
            <w:vAlign w:val="center"/>
          </w:tcPr>
          <w:p>
            <w:pPr>
              <w:pStyle w:val="TableContents"/>
              <w:bidi w:val="0"/>
              <w:spacing w:before="0" w:after="283"/>
              <w:jc w:val="left"/>
              <w:rPr/>
            </w:pPr>
            <w:r>
              <w:rPr/>
              <w:t> </w:t>
            </w:r>
          </w:p>
        </w:tc>
      </w:tr>
      <w:tr>
        <w:trPr/>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 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income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Interest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99" w:type="dxa"/>
            <w:tcBorders/>
            <w:vAlign w:val="center"/>
          </w:tcPr>
          <w:p>
            <w:pPr>
              <w:pStyle w:val="TableContents"/>
              <w:bidi w:val="0"/>
              <w:spacing w:before="0" w:after="283"/>
              <w:jc w:val="left"/>
              <w:rPr/>
            </w:pPr>
            <w:r>
              <w:rPr/>
              <w:t> </w:t>
            </w:r>
          </w:p>
        </w:tc>
      </w:tr>
      <w:tr>
        <w:trPr/>
        <w:tc>
          <w:tcPr>
            <w:tcW w:w="1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155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December 31, 2024</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ind w:left="0" w:right="0" w:hanging="0"/>
              <w:jc w:val="left"/>
              <w:rPr/>
            </w:pPr>
            <w:r>
              <w:rPr/>
              <w:t> </w:t>
            </w:r>
          </w:p>
        </w:tc>
        <w:tc>
          <w:tcPr>
            <w:tcW w:w="40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(278,253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29,140</w:t>
            </w:r>
          </w:p>
        </w:tc>
        <w:tc>
          <w:tcPr>
            <w:tcW w:w="99" w:type="dxa"/>
            <w:tcBorders/>
            <w:shd w:fill="CCEEFF" w:val="clear"/>
            <w:vAlign w:val="center"/>
          </w:tcPr>
          <w:p>
            <w:pPr>
              <w:pStyle w:val="TableContents"/>
              <w:bidi w:val="0"/>
              <w:spacing w:before="0" w:after="283"/>
              <w:jc w:val="left"/>
              <w:rPr/>
            </w:pPr>
            <w:r>
              <w:rPr/>
              <w:t> </w:t>
            </w:r>
          </w:p>
        </w:tc>
      </w:tr>
      <w:tr>
        <w:trPr/>
        <w:tc>
          <w:tcPr>
            <w:tcW w:w="1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5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ind w:left="0" w:right="0" w:hanging="0"/>
              <w:jc w:val="left"/>
              <w:rPr/>
            </w:pPr>
            <w:r>
              <w:rPr/>
              <w:t> </w:t>
            </w:r>
          </w:p>
        </w:tc>
        <w:tc>
          <w:tcPr>
            <w:tcW w:w="4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w:t>
            </w:r>
          </w:p>
        </w:tc>
        <w:tc>
          <w:tcPr>
            <w:tcW w:w="99" w:type="dxa"/>
            <w:tcBorders/>
            <w:shd w:fill="CCEEFF" w:val="clear"/>
            <w:vAlign w:val="center"/>
          </w:tcPr>
          <w:p>
            <w:pPr>
              <w:pStyle w:val="TableContents"/>
              <w:bidi w:val="0"/>
              <w:spacing w:before="0" w:after="283"/>
              <w:jc w:val="left"/>
              <w:rPr/>
            </w:pPr>
            <w:r>
              <w:rPr/>
              <w:t> </w:t>
            </w:r>
          </w:p>
        </w:tc>
      </w:tr>
      <w:tr>
        <w:trPr/>
        <w:tc>
          <w:tcPr>
            <w:tcW w:w="15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ind w:left="0" w:right="0" w:hanging="0"/>
              <w:jc w:val="left"/>
              <w:rPr/>
            </w:pPr>
            <w:r>
              <w:rPr/>
              <w:t> </w:t>
            </w:r>
          </w:p>
        </w:tc>
        <w:tc>
          <w:tcPr>
            <w:tcW w:w="4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(1,093</w:t>
            </w:r>
          </w:p>
        </w:tc>
        <w:tc>
          <w:tcPr>
            <w:tcW w:w="9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comprehensive gain</w:t>
            </w:r>
          </w:p>
        </w:tc>
        <w:tc>
          <w:tcPr>
            <w:tcW w:w="60" w:type="dxa"/>
            <w:tcBorders/>
            <w:shd w:fill="CCEEFF" w:val="clear"/>
            <w:vAlign w:val="center"/>
          </w:tcPr>
          <w:p>
            <w:pPr>
              <w:pStyle w:val="TableContents"/>
              <w:bidi w:val="0"/>
              <w:spacing w:before="0" w:after="283"/>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w:t>
            </w:r>
          </w:p>
        </w:tc>
        <w:tc>
          <w:tcPr>
            <w:tcW w:w="99" w:type="dxa"/>
            <w:tcBorders/>
            <w:shd w:fill="CCEEFF" w:val="clear"/>
            <w:vAlign w:val="center"/>
          </w:tcPr>
          <w:p>
            <w:pPr>
              <w:pStyle w:val="TableContents"/>
              <w:bidi w:val="0"/>
              <w:spacing w:before="0" w:after="283"/>
              <w:jc w:val="left"/>
              <w:rPr/>
            </w:pPr>
            <w:r>
              <w:rPr/>
              <w:t> </w:t>
            </w:r>
          </w:p>
        </w:tc>
      </w:tr>
      <w:tr>
        <w:trPr/>
        <w:tc>
          <w:tcPr>
            <w:tcW w:w="1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55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June 30, 2025</w:t>
            </w:r>
          </w:p>
        </w:tc>
        <w:tc>
          <w:tcPr>
            <w:tcW w:w="60" w:type="dxa"/>
            <w:tcBorders/>
            <w:shd w:fill="CCEEFF" w:val="clear"/>
            <w:vAlign w:val="center"/>
          </w:tcPr>
          <w:p>
            <w:pPr>
              <w:pStyle w:val="TableContents"/>
              <w:bidi w:val="0"/>
              <w:spacing w:before="0" w:after="283"/>
              <w:jc w:val="left"/>
              <w:rPr/>
            </w:pPr>
            <w:r>
              <w:rPr/>
              <w:t> </w:t>
            </w:r>
          </w:p>
        </w:tc>
        <w:tc>
          <w:tcPr>
            <w:tcW w:w="2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288,357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(279,345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172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28,199</w:t>
            </w:r>
          </w:p>
        </w:tc>
        <w:tc>
          <w:tcPr>
            <w:tcW w:w="99" w:type="dxa"/>
            <w:tcBorders/>
            <w:shd w:fill="CCEEFF" w:val="clear"/>
            <w:vAlign w:val="center"/>
          </w:tcPr>
          <w:p>
            <w:pPr>
              <w:pStyle w:val="TableContents"/>
              <w:bidi w:val="0"/>
              <w:spacing w:before="0" w:after="283"/>
              <w:jc w:val="left"/>
              <w:rPr/>
            </w:pPr>
            <w:r>
              <w:rPr/>
              <w:t> </w:t>
            </w:r>
          </w:p>
        </w:tc>
      </w:tr>
      <w:tr>
        <w:trPr/>
        <w:tc>
          <w:tcPr>
            <w:tcW w:w="1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55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December 31, 2023</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ind w:left="0" w:right="0" w:hanging="0"/>
              <w:jc w:val="left"/>
              <w:rPr/>
            </w:pPr>
            <w:r>
              <w:rPr/>
              <w:t> </w:t>
            </w:r>
          </w:p>
        </w:tc>
        <w:tc>
          <w:tcPr>
            <w:tcW w:w="40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(276,743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(79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30,590</w:t>
            </w:r>
          </w:p>
        </w:tc>
        <w:tc>
          <w:tcPr>
            <w:tcW w:w="99" w:type="dxa"/>
            <w:tcBorders/>
            <w:shd w:fill="CCEEFF" w:val="clear"/>
            <w:vAlign w:val="center"/>
          </w:tcPr>
          <w:p>
            <w:pPr>
              <w:pStyle w:val="TableContents"/>
              <w:bidi w:val="0"/>
              <w:spacing w:before="0" w:after="283"/>
              <w:jc w:val="left"/>
              <w:rPr/>
            </w:pPr>
            <w:r>
              <w:rPr/>
              <w:t> </w:t>
            </w:r>
          </w:p>
        </w:tc>
      </w:tr>
      <w:tr>
        <w:trPr/>
        <w:tc>
          <w:tcPr>
            <w:tcW w:w="1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5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ind w:left="0" w:right="0" w:hanging="0"/>
              <w:jc w:val="left"/>
              <w:rPr/>
            </w:pPr>
            <w:r>
              <w:rPr/>
              <w:t> </w:t>
            </w:r>
          </w:p>
        </w:tc>
        <w:tc>
          <w:tcPr>
            <w:tcW w:w="4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w:t>
            </w:r>
          </w:p>
        </w:tc>
        <w:tc>
          <w:tcPr>
            <w:tcW w:w="99" w:type="dxa"/>
            <w:tcBorders/>
            <w:shd w:fill="CCEEFF" w:val="clear"/>
            <w:vAlign w:val="center"/>
          </w:tcPr>
          <w:p>
            <w:pPr>
              <w:pStyle w:val="TableContents"/>
              <w:bidi w:val="0"/>
              <w:spacing w:before="0" w:after="283"/>
              <w:jc w:val="left"/>
              <w:rPr/>
            </w:pPr>
            <w:r>
              <w:rPr/>
              <w:t> </w:t>
            </w:r>
          </w:p>
        </w:tc>
      </w:tr>
      <w:tr>
        <w:trPr/>
        <w:tc>
          <w:tcPr>
            <w:tcW w:w="15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ind w:left="0" w:right="0" w:hanging="0"/>
              <w:jc w:val="left"/>
              <w:rPr/>
            </w:pPr>
            <w:r>
              <w:rPr/>
              <w:t> </w:t>
            </w:r>
          </w:p>
        </w:tc>
        <w:tc>
          <w:tcPr>
            <w:tcW w:w="4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(574</w:t>
            </w:r>
          </w:p>
        </w:tc>
        <w:tc>
          <w:tcPr>
            <w:tcW w:w="9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comprehensive loss</w:t>
            </w:r>
          </w:p>
        </w:tc>
        <w:tc>
          <w:tcPr>
            <w:tcW w:w="60" w:type="dxa"/>
            <w:tcBorders/>
            <w:shd w:fill="CCEEFF" w:val="clear"/>
            <w:vAlign w:val="center"/>
          </w:tcPr>
          <w:p>
            <w:pPr>
              <w:pStyle w:val="TableContents"/>
              <w:bidi w:val="0"/>
              <w:spacing w:before="0" w:after="283"/>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55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June 30, 2024</w:t>
            </w:r>
          </w:p>
        </w:tc>
        <w:tc>
          <w:tcPr>
            <w:tcW w:w="60" w:type="dxa"/>
            <w:tcBorders/>
            <w:shd w:fill="CCEEFF" w:val="clear"/>
            <w:vAlign w:val="center"/>
          </w:tcPr>
          <w:p>
            <w:pPr>
              <w:pStyle w:val="TableContents"/>
              <w:bidi w:val="0"/>
              <w:spacing w:before="0" w:after="283"/>
              <w:jc w:val="left"/>
              <w:rPr/>
            </w:pPr>
            <w:r>
              <w:rPr/>
              <w:t> </w:t>
            </w:r>
          </w:p>
        </w:tc>
        <w:tc>
          <w:tcPr>
            <w:tcW w:w="2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288,189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(277,317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(79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30,074</w:t>
            </w:r>
          </w:p>
        </w:tc>
        <w:tc>
          <w:tcPr>
            <w:tcW w:w="99" w:type="dxa"/>
            <w:tcBorders/>
            <w:shd w:fill="CCEEFF" w:val="clear"/>
            <w:vAlign w:val="center"/>
          </w:tcPr>
          <w:p>
            <w:pPr>
              <w:pStyle w:val="TableContents"/>
              <w:bidi w:val="0"/>
              <w:spacing w:before="0" w:after="283"/>
              <w:jc w:val="left"/>
              <w:rPr/>
            </w:pPr>
            <w:r>
              <w:rPr/>
              <w:t> </w:t>
            </w:r>
          </w:p>
        </w:tc>
      </w:tr>
      <w:tr>
        <w:trPr/>
        <w:tc>
          <w:tcPr>
            <w:tcW w:w="1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55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March 31, 2025</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ind w:left="0" w:right="0" w:hanging="0"/>
              <w:jc w:val="left"/>
              <w:rPr/>
            </w:pPr>
            <w:r>
              <w:rPr/>
              <w:t> </w:t>
            </w:r>
          </w:p>
        </w:tc>
        <w:tc>
          <w:tcPr>
            <w:tcW w:w="40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(278,821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28,646</w:t>
            </w:r>
          </w:p>
        </w:tc>
        <w:tc>
          <w:tcPr>
            <w:tcW w:w="99" w:type="dxa"/>
            <w:tcBorders/>
            <w:shd w:fill="CCEEFF" w:val="clear"/>
            <w:vAlign w:val="center"/>
          </w:tcPr>
          <w:p>
            <w:pPr>
              <w:pStyle w:val="TableContents"/>
              <w:bidi w:val="0"/>
              <w:spacing w:before="0" w:after="283"/>
              <w:jc w:val="left"/>
              <w:rPr/>
            </w:pPr>
            <w:r>
              <w:rPr/>
              <w:t> </w:t>
            </w:r>
          </w:p>
        </w:tc>
      </w:tr>
      <w:tr>
        <w:trPr/>
        <w:tc>
          <w:tcPr>
            <w:tcW w:w="1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5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ind w:left="0" w:right="0" w:hanging="0"/>
              <w:jc w:val="left"/>
              <w:rPr/>
            </w:pPr>
            <w:r>
              <w:rPr/>
              <w:t> </w:t>
            </w:r>
          </w:p>
        </w:tc>
        <w:tc>
          <w:tcPr>
            <w:tcW w:w="4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w:t>
            </w:r>
          </w:p>
        </w:tc>
        <w:tc>
          <w:tcPr>
            <w:tcW w:w="99" w:type="dxa"/>
            <w:tcBorders/>
            <w:shd w:fill="CCEEFF" w:val="clear"/>
            <w:vAlign w:val="center"/>
          </w:tcPr>
          <w:p>
            <w:pPr>
              <w:pStyle w:val="TableContents"/>
              <w:bidi w:val="0"/>
              <w:spacing w:before="0" w:after="283"/>
              <w:jc w:val="left"/>
              <w:rPr/>
            </w:pPr>
            <w:r>
              <w:rPr/>
              <w:t> </w:t>
            </w:r>
          </w:p>
        </w:tc>
      </w:tr>
      <w:tr>
        <w:trPr/>
        <w:tc>
          <w:tcPr>
            <w:tcW w:w="15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ind w:left="0" w:right="0" w:hanging="0"/>
              <w:jc w:val="left"/>
              <w:rPr/>
            </w:pPr>
            <w:r>
              <w:rPr/>
              <w:t> </w:t>
            </w:r>
          </w:p>
        </w:tc>
        <w:tc>
          <w:tcPr>
            <w:tcW w:w="4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(525</w:t>
            </w:r>
          </w:p>
        </w:tc>
        <w:tc>
          <w:tcPr>
            <w:tcW w:w="9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comprehensive gain</w:t>
            </w:r>
          </w:p>
        </w:tc>
        <w:tc>
          <w:tcPr>
            <w:tcW w:w="60" w:type="dxa"/>
            <w:tcBorders/>
            <w:shd w:fill="CCEEFF" w:val="clear"/>
            <w:vAlign w:val="center"/>
          </w:tcPr>
          <w:p>
            <w:pPr>
              <w:pStyle w:val="TableContents"/>
              <w:bidi w:val="0"/>
              <w:spacing w:before="0" w:after="283"/>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w:t>
            </w:r>
          </w:p>
        </w:tc>
        <w:tc>
          <w:tcPr>
            <w:tcW w:w="99" w:type="dxa"/>
            <w:tcBorders/>
            <w:shd w:fill="CCEEFF" w:val="clear"/>
            <w:vAlign w:val="center"/>
          </w:tcPr>
          <w:p>
            <w:pPr>
              <w:pStyle w:val="TableContents"/>
              <w:bidi w:val="0"/>
              <w:spacing w:before="0" w:after="283"/>
              <w:jc w:val="left"/>
              <w:rPr/>
            </w:pPr>
            <w:r>
              <w:rPr/>
              <w:t> </w:t>
            </w:r>
          </w:p>
        </w:tc>
      </w:tr>
      <w:tr>
        <w:trPr/>
        <w:tc>
          <w:tcPr>
            <w:tcW w:w="1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55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June 30, 2025</w:t>
            </w:r>
          </w:p>
        </w:tc>
        <w:tc>
          <w:tcPr>
            <w:tcW w:w="60" w:type="dxa"/>
            <w:tcBorders/>
            <w:shd w:fill="CCEEFF" w:val="clear"/>
            <w:vAlign w:val="center"/>
          </w:tcPr>
          <w:p>
            <w:pPr>
              <w:pStyle w:val="TableContents"/>
              <w:bidi w:val="0"/>
              <w:spacing w:before="0" w:after="283"/>
              <w:jc w:val="left"/>
              <w:rPr/>
            </w:pPr>
            <w:r>
              <w:rPr/>
              <w:t> </w:t>
            </w:r>
          </w:p>
        </w:tc>
        <w:tc>
          <w:tcPr>
            <w:tcW w:w="2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288,357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(279,345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172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28,199</w:t>
            </w:r>
          </w:p>
        </w:tc>
        <w:tc>
          <w:tcPr>
            <w:tcW w:w="99" w:type="dxa"/>
            <w:tcBorders/>
            <w:shd w:fill="CCEEFF" w:val="clear"/>
            <w:vAlign w:val="center"/>
          </w:tcPr>
          <w:p>
            <w:pPr>
              <w:pStyle w:val="TableContents"/>
              <w:bidi w:val="0"/>
              <w:spacing w:before="0" w:after="283"/>
              <w:jc w:val="left"/>
              <w:rPr/>
            </w:pPr>
            <w:r>
              <w:rPr/>
              <w:t> </w:t>
            </w:r>
          </w:p>
        </w:tc>
      </w:tr>
      <w:tr>
        <w:trPr/>
        <w:tc>
          <w:tcPr>
            <w:tcW w:w="1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55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March 31, 2024</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ind w:left="0" w:right="0" w:hanging="0"/>
              <w:jc w:val="left"/>
              <w:rPr/>
            </w:pPr>
            <w:r>
              <w:rPr/>
              <w:t> </w:t>
            </w:r>
          </w:p>
        </w:tc>
        <w:tc>
          <w:tcPr>
            <w:tcW w:w="40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(277,057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(79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30,309</w:t>
            </w:r>
          </w:p>
        </w:tc>
        <w:tc>
          <w:tcPr>
            <w:tcW w:w="99" w:type="dxa"/>
            <w:tcBorders/>
            <w:shd w:fill="CCEEFF" w:val="clear"/>
            <w:vAlign w:val="center"/>
          </w:tcPr>
          <w:p>
            <w:pPr>
              <w:pStyle w:val="TableContents"/>
              <w:bidi w:val="0"/>
              <w:spacing w:before="0" w:after="283"/>
              <w:jc w:val="left"/>
              <w:rPr/>
            </w:pPr>
            <w:r>
              <w:rPr/>
              <w:t> </w:t>
            </w:r>
          </w:p>
        </w:tc>
      </w:tr>
      <w:tr>
        <w:trPr/>
        <w:tc>
          <w:tcPr>
            <w:tcW w:w="1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5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ind w:left="0" w:right="0" w:hanging="0"/>
              <w:jc w:val="left"/>
              <w:rPr/>
            </w:pPr>
            <w:r>
              <w:rPr/>
              <w:t> </w:t>
            </w:r>
          </w:p>
        </w:tc>
        <w:tc>
          <w:tcPr>
            <w:tcW w:w="4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48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w:t>
            </w:r>
          </w:p>
        </w:tc>
        <w:tc>
          <w:tcPr>
            <w:tcW w:w="99" w:type="dxa"/>
            <w:tcBorders/>
            <w:shd w:fill="CCEEFF" w:val="clear"/>
            <w:vAlign w:val="center"/>
          </w:tcPr>
          <w:p>
            <w:pPr>
              <w:pStyle w:val="TableContents"/>
              <w:bidi w:val="0"/>
              <w:spacing w:before="0" w:after="283"/>
              <w:jc w:val="left"/>
              <w:rPr/>
            </w:pPr>
            <w:r>
              <w:rPr/>
              <w:t> </w:t>
            </w:r>
          </w:p>
        </w:tc>
      </w:tr>
      <w:tr>
        <w:trPr/>
        <w:tc>
          <w:tcPr>
            <w:tcW w:w="15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ind w:left="0" w:right="0" w:hanging="0"/>
              <w:jc w:val="left"/>
              <w:rPr/>
            </w:pPr>
            <w:r>
              <w:rPr/>
              <w:t> </w:t>
            </w:r>
          </w:p>
        </w:tc>
        <w:tc>
          <w:tcPr>
            <w:tcW w:w="4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48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(260</w:t>
            </w:r>
          </w:p>
        </w:tc>
        <w:tc>
          <w:tcPr>
            <w:tcW w:w="9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comprehensive loss</w:t>
            </w:r>
          </w:p>
        </w:tc>
        <w:tc>
          <w:tcPr>
            <w:tcW w:w="60" w:type="dxa"/>
            <w:tcBorders/>
            <w:shd w:fill="CCEEFF" w:val="clear"/>
            <w:vAlign w:val="center"/>
          </w:tcPr>
          <w:p>
            <w:pPr>
              <w:pStyle w:val="TableContents"/>
              <w:bidi w:val="0"/>
              <w:spacing w:before="0" w:after="283"/>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w:t>
            </w:r>
          </w:p>
        </w:tc>
        <w:tc>
          <w:tcPr>
            <w:tcW w:w="9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155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 June 30, 2024</w:t>
            </w:r>
          </w:p>
        </w:tc>
        <w:tc>
          <w:tcPr>
            <w:tcW w:w="60" w:type="dxa"/>
            <w:tcBorders/>
            <w:shd w:fill="CCEEFF" w:val="clear"/>
            <w:vAlign w:val="center"/>
          </w:tcPr>
          <w:p>
            <w:pPr>
              <w:pStyle w:val="TableContents"/>
              <w:bidi w:val="0"/>
              <w:spacing w:before="0" w:after="283"/>
              <w:jc w:val="left"/>
              <w:rPr/>
            </w:pPr>
            <w:r>
              <w:rPr/>
              <w:t> </w:t>
            </w:r>
          </w:p>
        </w:tc>
        <w:tc>
          <w:tcPr>
            <w:tcW w:w="2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917,285,149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18,179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288,189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(277,317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(79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30,074</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comp_loss"/>
      <w:bookmarkEnd w:id="6"/>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COMPREHENSIVE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66"/>
        <w:gridCol w:w="60"/>
        <w:gridCol w:w="239"/>
        <w:gridCol w:w="759"/>
        <w:gridCol w:w="153"/>
        <w:gridCol w:w="115"/>
        <w:gridCol w:w="239"/>
        <w:gridCol w:w="759"/>
        <w:gridCol w:w="80"/>
        <w:gridCol w:w="60"/>
        <w:gridCol w:w="196"/>
        <w:gridCol w:w="856"/>
        <w:gridCol w:w="125"/>
        <w:gridCol w:w="94"/>
        <w:gridCol w:w="196"/>
        <w:gridCol w:w="621"/>
        <w:gridCol w:w="87"/>
      </w:tblGrid>
      <w:tr>
        <w:trPr/>
        <w:tc>
          <w:tcPr>
            <w:tcW w:w="55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6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7" w:type="dxa"/>
            <w:tcBorders/>
            <w:vAlign w:val="center"/>
          </w:tcPr>
          <w:p>
            <w:pPr>
              <w:pStyle w:val="TableContents"/>
              <w:bidi w:val="0"/>
              <w:spacing w:before="0" w:after="283"/>
              <w:jc w:val="left"/>
              <w:rPr/>
            </w:pPr>
            <w:r>
              <w:rPr/>
              <w:t> </w:t>
            </w:r>
          </w:p>
        </w:tc>
      </w:tr>
      <w:tr>
        <w:trPr/>
        <w:tc>
          <w:tcPr>
            <w:tcW w:w="55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53"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5"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ind w:left="0" w:right="0" w:hanging="0"/>
              <w:jc w:val="left"/>
              <w:rPr/>
            </w:pPr>
            <w:r>
              <w:rPr/>
              <w:t> </w:t>
            </w:r>
          </w:p>
        </w:tc>
        <w:tc>
          <w:tcPr>
            <w:tcW w:w="8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7" w:type="dxa"/>
            <w:tcBorders/>
            <w:vAlign w:val="center"/>
          </w:tcPr>
          <w:p>
            <w:pPr>
              <w:pStyle w:val="TableContents"/>
              <w:bidi w:val="0"/>
              <w:spacing w:before="0" w:after="283"/>
              <w:jc w:val="left"/>
              <w:rPr/>
            </w:pPr>
            <w:r>
              <w:rPr/>
              <w:t> </w:t>
            </w:r>
          </w:p>
        </w:tc>
      </w:tr>
      <w:tr>
        <w:trPr/>
        <w:tc>
          <w:tcPr>
            <w:tcW w:w="55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1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 (loss), net of tax</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gains (losses) on available-for-sale securities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5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 (loss), net of tax</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5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1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6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Comprehensive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5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25"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7" w:type="dxa"/>
            <w:tcBorders/>
            <w:shd w:fill="CCEEFF"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loss attributable to Liquidmetal Technologies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(479</w:t>
            </w:r>
          </w:p>
        </w:tc>
        <w:tc>
          <w:tcPr>
            <w:tcW w:w="15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(1,027</w:t>
            </w:r>
          </w:p>
        </w:tc>
        <w:tc>
          <w:tcPr>
            <w:tcW w:w="1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4"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(578</w:t>
            </w:r>
          </w:p>
        </w:tc>
        <w:tc>
          <w:tcPr>
            <w:tcW w:w="8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7" w:name="cash_flows"/>
      <w:bookmarkEnd w:id="7"/>
      <w:r>
        <w:rPr>
          <w:rFonts w:ascii="Times New Roman" w:hAnsi="Times New Roman"/>
          <w:b/>
          <w:caps w:val="false"/>
          <w:smallCaps w:val="false"/>
          <w:sz w:val="20"/>
        </w:rPr>
        <w:t>LIQUIDMETAL TECHNOLOGIES,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367" w:type="dxa"/>
        <w:jc w:val="left"/>
        <w:tblInd w:w="0" w:type="dxa"/>
        <w:tblLayout w:type="fixed"/>
        <w:tblCellMar>
          <w:top w:w="0" w:type="dxa"/>
          <w:left w:w="0" w:type="dxa"/>
          <w:bottom w:w="0" w:type="dxa"/>
          <w:right w:w="0" w:type="dxa"/>
        </w:tblCellMar>
      </w:tblPr>
      <w:tblGrid>
        <w:gridCol w:w="5930"/>
        <w:gridCol w:w="60"/>
        <w:gridCol w:w="194"/>
        <w:gridCol w:w="846"/>
        <w:gridCol w:w="124"/>
        <w:gridCol w:w="93"/>
        <w:gridCol w:w="194"/>
        <w:gridCol w:w="846"/>
        <w:gridCol w:w="80"/>
      </w:tblGrid>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4"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ind w:left="0" w:right="0" w:hanging="0"/>
              <w:jc w:val="left"/>
              <w:rPr/>
            </w:pPr>
            <w:r>
              <w:rP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investment gains (loss), net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investment gain, net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and liabilities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(579</w:t>
            </w:r>
          </w:p>
        </w:tc>
        <w:tc>
          <w:tcPr>
            <w:tcW w:w="124"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debt securities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(4,927</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sales of debt securities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5,113</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7,646</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186</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(1,327</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6,011</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8,842</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5,618</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7,372</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paid during the period for:</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800</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800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8" w:name="notes"/>
      <w:bookmarkEnd w:id="8"/>
      <w:r>
        <w:rPr>
          <w:rFonts w:ascii="Times New Roman" w:hAnsi="Times New Roman"/>
          <w:b/>
          <w:caps w:val="false"/>
          <w:smallCaps w:val="false"/>
          <w:sz w:val="20"/>
        </w:rPr>
        <w:t>LIQUIDMETAL TECHNOLOGIES, INC. AND SUBSIDIARIES</w:t>
      </w:r>
      <w:r>
        <w:rPr>
          <w:rFonts w:ascii="Times New Roman" w:hAnsi="Times New Roman"/>
          <w:caps w:val="false"/>
          <w:smallCaps w:val="false"/>
          <w:sz w:val="20"/>
        </w:rPr>
        <w:br/>
      </w:r>
      <w:r>
        <w:rPr>
          <w:rFonts w:ascii="Times New Roman" w:hAnsi="Times New Roman"/>
          <w:b/>
          <w:caps w:val="false"/>
          <w:smallCaps w:val="false"/>
          <w:sz w:val="20"/>
        </w:rPr>
        <w:t>NOTES TO CONSOLIDATED FINANCIAL STATEMENTS</w:t>
      </w:r>
      <w:r>
        <w:rPr>
          <w:rFonts w:ascii="Times New Roman" w:hAnsi="Times New Roman"/>
          <w:caps w:val="false"/>
          <w:smallCaps w:val="false"/>
          <w:sz w:val="20"/>
        </w:rPr>
        <w:br/>
      </w:r>
      <w:r>
        <w:rPr>
          <w:rFonts w:ascii="Times New Roman" w:hAnsi="Times New Roman"/>
          <w:b/>
          <w:caps w:val="false"/>
          <w:smallCaps w:val="false"/>
          <w:sz w:val="20"/>
        </w:rPr>
        <w:t>For the Six Months Ended June 30, 2025 and 2024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(numbers in thousands, except percentages,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 xml:space="preserve">DESCRIPTION OF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Liquidmetal Technologies, Inc. (the “Company”) is a materials technology company that works with manufacturing and commercial partners to develop and commercialize products made from proprietary amorphous alloys. The Company’s family of alloys consists of a variety of bulk alloys and composites that utilize the advantages offered by amorphous alloys technology. The Company designs, develops, and sells products and custom parts from bulk amorphous alloys to customers in a wide range of industries. The Company also partners with </w:t>
      </w:r>
      <w:r>
        <w:rPr>
          <w:rStyle w:val="Emphasis"/>
          <w:rFonts w:ascii="Times New Roman" w:hAnsi="Times New Roman"/>
          <w:caps w:val="false"/>
          <w:smallCaps w:val="false"/>
          <w:sz w:val="20"/>
        </w:rPr>
        <w:t>third</w:t>
      </w:r>
      <w:r>
        <w:rPr>
          <w:rFonts w:ascii="Times New Roman" w:hAnsi="Times New Roman"/>
          <w:caps w:val="false"/>
          <w:smallCaps w:val="false"/>
          <w:sz w:val="20"/>
        </w:rPr>
        <w:t>-party manufacturers and licensees to develop and commercialize Liquidmetal alloy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Amorphous alloys are, in general, unique materials that are distinguished by their ability to retain a random atomic structure when they solidify, in contrast to the crystalline atomic structure that forms in other metals and alloys when they solidify. Liquidmetal alloys are proprietary amorphous alloys that possess a combination of performance, processing, and potential cost advantages that the Company believes will make them preferable to other materials in a variety of applications. The amorphous atomic structure of bulk alloys enables them to overcome certain performance limitations caused by inherent weaknesses in crystalline atomic structures, thus facilitating performance and processing characteristics superior in many ways to those of their crystalline counterparts. The Company believes that the alloys and the molding technologies it employs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in components, for many applications, that exhibit: exceptional dimensional control and repeatability that rivals precision machining, excellent corrosion resistance, brilliant surface finish, high strength, high hardness, high elastic limit, alloys that are non-magnetic, and the ability to form complex shapes common to the injection molding of plastics. Interestingly, all of these characteristics are achievable from the molding process, so design engineers often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to select specific alloys to achieve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the characteristics as is the case with crystalline materials. The Company believes these advantages could result in Liquidmetal alloys supplanting high-performance alloys, such as titanium and stainless steel, and other incumbent materials in a wide variety of applications. Moreover, the Company believes these advantages could enable the introduction of entirely new products and applications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possible or commercially viable with other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revenues are derived from i) selling bulk Liquidmetal alloy products to customers who produce medical devices, automotive assemblies, sports and leisure goods, and non-consumer electronic devices, ii) selling tooling and prototype parts such as demonstration parts and test samples for customers with products in development, iii) product licensing and royalty revenue, and iv) research and development revenue. The Company expects that these sources of revenue will continue to significantly change the character of the Company’s revenue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 xml:space="preserve">BASIS OF PRESENTATION AND RECENT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accompanying unaudited interim consolidated financial statements as of and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and </w:t>
      </w:r>
      <w:r>
        <w:rPr>
          <w:rStyle w:val="Emphasis"/>
          <w:rFonts w:ascii="Times New Roman" w:hAnsi="Times New Roman"/>
          <w:caps w:val="false"/>
          <w:smallCaps w:val="false"/>
          <w:sz w:val="20"/>
        </w:rPr>
        <w:t>2024</w:t>
      </w:r>
      <w:r>
        <w:rPr>
          <w:rFonts w:ascii="Times New Roman" w:hAnsi="Times New Roman"/>
          <w:caps w:val="false"/>
          <w:smallCaps w:val="false"/>
          <w:sz w:val="20"/>
        </w:rPr>
        <w:t> have been prepared in accordance with accounting principles generally accepted in the United States of America (“US GAAP”) for interim financial information and in accordance with the instructions to Form </w:t>
      </w:r>
      <w:r>
        <w:rPr>
          <w:rStyle w:val="Emphasis"/>
          <w:rFonts w:ascii="Times New Roman" w:hAnsi="Times New Roman"/>
          <w:caps w:val="false"/>
          <w:smallCaps w:val="false"/>
          <w:sz w:val="20"/>
        </w:rPr>
        <w:t>10</w:t>
      </w:r>
      <w:r>
        <w:rPr>
          <w:rFonts w:ascii="Times New Roman" w:hAnsi="Times New Roman"/>
          <w:caps w:val="false"/>
          <w:smallCaps w:val="false"/>
          <w:sz w:val="20"/>
        </w:rPr>
        <w:t>-Q.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include all of the information and notes required by US GAAP for complete financial statements. In the opinion of management, all adjustments (consisting only of normal recurring accruals) considered necessary for a fair presentation have been included. All intercompany balances and transactions have been eliminated in consolidation. Operating results for the </w:t>
      </w:r>
      <w:r>
        <w:rPr>
          <w:rStyle w:val="Emphasis"/>
          <w:rFonts w:ascii="Times New Roman" w:hAnsi="Times New Roman"/>
          <w:caps w:val="false"/>
          <w:smallCaps w:val="false"/>
          <w:sz w:val="20"/>
        </w:rPr>
        <w:t>six</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2025 </w:t>
      </w:r>
      <w:r>
        <w:rPr>
          <w:rFonts w:ascii="Times New Roman" w:hAnsi="Times New Roman"/>
          <w:caps w:val="false"/>
          <w:smallCaps w:val="false"/>
          <w:sz w:val="20"/>
        </w:rPr>
        <w:t>are </w:t>
      </w:r>
      <w:r>
        <w:rPr>
          <w:rStyle w:val="Emphasis"/>
          <w:rFonts w:ascii="Times New Roman" w:hAnsi="Times New Roman"/>
          <w:caps w:val="false"/>
          <w:smallCaps w:val="false"/>
          <w:sz w:val="20"/>
        </w:rPr>
        <w:t>not</w:t>
      </w:r>
      <w:r>
        <w:rPr>
          <w:rFonts w:ascii="Times New Roman" w:hAnsi="Times New Roman"/>
          <w:caps w:val="false"/>
          <w:smallCaps w:val="false"/>
          <w:sz w:val="20"/>
        </w:rPr>
        <w:t> necessarily indicative of the results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expected for any future periods or the year ending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The accompanying unaudited consolidated financial statements should be read in conjunction with the Company's </w:t>
      </w:r>
      <w:r>
        <w:rPr>
          <w:rStyle w:val="Emphasis"/>
          <w:rFonts w:ascii="Times New Roman" w:hAnsi="Times New Roman"/>
          <w:caps w:val="false"/>
          <w:smallCaps w:val="false"/>
          <w:sz w:val="20"/>
        </w:rPr>
        <w:t>2024</w:t>
      </w:r>
      <w:r>
        <w:rPr>
          <w:rFonts w:ascii="Times New Roman" w:hAnsi="Times New Roman"/>
          <w:caps w:val="false"/>
          <w:smallCaps w:val="false"/>
          <w:sz w:val="20"/>
        </w:rPr>
        <w:t>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filed with the Securities and Exchange Commission (“SEC”) on </w:t>
      </w:r>
      <w:r>
        <w:rPr>
          <w:rStyle w:val="Emphasis"/>
          <w:rFonts w:ascii="Times New Roman" w:hAnsi="Times New Roman"/>
          <w:caps w:val="false"/>
          <w:smallCaps w:val="false"/>
          <w:sz w:val="20"/>
        </w:rPr>
        <w:t xml:space="preserve"> March 13,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Investments in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will invest excess funds to maximize investment yield, while maintaining liquidity and minimizing credit risk. Debt securities are carried at fair value and consist primarily of investments in obligations of the United States Treasury, various U.S. and foreign corporations, and certificates of deposits. The Company classifies its investments in debt securities as available-for-sale with all unrealized gains or losses included as part of other comprehensive income. The Company evaluates its debt securities with unrealized losses on a quarterly basis for potential other-than-temporary impairments in value. As a result of this assessment, the Company did not recognize any other-than-temporary impairment losses considered to be credit related for the </w:t>
      </w:r>
      <w:r>
        <w:rPr>
          <w:rStyle w:val="Emphasis"/>
          <w:rFonts w:ascii="Times New Roman" w:hAnsi="Times New Roman"/>
          <w:caps w:val="false"/>
          <w:smallCaps w:val="false"/>
          <w:sz w:val="20"/>
        </w:rPr>
        <w:t>six</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and </w:t>
      </w:r>
      <w:r>
        <w:rPr>
          <w:rStyle w:val="Emphasis"/>
          <w:rFonts w:ascii="Times New Roman" w:hAnsi="Times New Roman"/>
          <w:caps w:val="false"/>
          <w:smallCaps w:val="false"/>
          <w:sz w:val="20"/>
        </w:rPr>
        <w:t>2024.</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Investments in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will invest excess funds to maximize investment yield, while maintaining liquidity and minimizing credit risk. Debt securities are carried at fair value and consist primarily of investments in obligations of the United States Treasury, various U.S. and foreign corporations, and certificates of deposits. The Company classifies its investments in debt securities as available-for-sale with all unrealized gains or losses included as part of other comprehensive income. The Company evaluates its debt securities with unrealized losses on a quarterly basis for potential other-than-temporary impairments in value. As a result of this assessment,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recognize any other-than-temporary impairment losses considered to be credit related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and </w:t>
      </w:r>
      <w:r>
        <w:rPr>
          <w:rStyle w:val="Emphasis"/>
          <w:rFonts w:ascii="Times New Roman" w:hAnsi="Times New Roman"/>
          <w:caps w:val="false"/>
          <w:smallCaps w:val="false"/>
          <w:sz w:val="20"/>
        </w:rPr>
        <w:t>2024.</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will invest excess funds to maximize investment yield, while maintaining liquidity and minimizing credit risk. Debt securities are carried at fair value and consist primarily of investments in obligations of the United States Treasury, various U.S. and foreign corporations, and certificates of deposits. The Company classifies its investments in debt securities as available-for-sale with all unrealized gains or losses included as part of other comprehensive income. The Company evaluates its debt securities with unrealized losses on a quarterly basis for potential other-than-temporary impairments in value. As a result of this assessment,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recognize any other-than-temporary impairment losses considered to be credit related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estimated fair values of financial instruments reported in the consolidated financial statements have been determined using available market information and valuation methodologies, as applicable. The fair value of cash and restricted cash approximate their carrying value due to their short maturities and are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instruments within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Entities are required to maximize the use of observable inputs and minimize the use of unobservable inputs when measuring fair value based upon the following fair value hierarchy:</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28" w:type="dxa"/>
          <w:left w:w="28" w:type="dxa"/>
          <w:bottom w:w="28" w:type="dxa"/>
          <w:right w:w="0" w:type="dxa"/>
        </w:tblCellMar>
      </w:tblPr>
      <w:tblGrid>
        <w:gridCol w:w="875"/>
        <w:gridCol w:w="5210"/>
      </w:tblGrid>
      <w:tr>
        <w:trPr/>
        <w:tc>
          <w:tcPr>
            <w:tcW w:w="87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both"/>
              <w:rPr/>
            </w:pPr>
            <w:r>
              <w:rPr>
                <w:rFonts w:ascii="Times New Roman" w:hAnsi="Times New Roman"/>
                <w:caps w:val="false"/>
                <w:smallCaps w:val="false"/>
                <w:sz w:val="20"/>
              </w:rPr>
              <w:t>Level </w:t>
            </w:r>
            <w:r>
              <w:rPr>
                <w:rStyle w:val="Emphasis"/>
                <w:rFonts w:ascii="Times New Roman" w:hAnsi="Times New Roman"/>
                <w:caps w:val="false"/>
                <w:smallCaps w:val="false"/>
                <w:sz w:val="20"/>
              </w:rPr>
              <w:t>1</w:t>
            </w:r>
            <w:r>
              <w:rPr>
                <w:rFonts w:ascii="Times New Roman" w:hAnsi="Times New Roman"/>
                <w:caps w:val="false"/>
                <w:smallCaps w:val="false"/>
                <w:sz w:val="20"/>
              </w:rPr>
              <w:t> —</w:t>
            </w:r>
          </w:p>
        </w:tc>
        <w:tc>
          <w:tcPr>
            <w:tcW w:w="521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Quoted prices in active markets for identical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875"/>
        <w:gridCol w:w="9330"/>
      </w:tblGrid>
      <w:tr>
        <w:trPr/>
        <w:tc>
          <w:tcPr>
            <w:tcW w:w="87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both"/>
              <w:rPr/>
            </w:pPr>
            <w:r>
              <w:rPr>
                <w:rFonts w:ascii="Times New Roman" w:hAnsi="Times New Roman"/>
                <w:caps w:val="false"/>
                <w:smallCaps w:val="false"/>
                <w:sz w:val="20"/>
              </w:rPr>
              <w:t>Level </w:t>
            </w:r>
            <w:r>
              <w:rPr>
                <w:rStyle w:val="Emphasis"/>
                <w:rFonts w:ascii="Times New Roman" w:hAnsi="Times New Roman"/>
                <w:caps w:val="false"/>
                <w:smallCaps w:val="false"/>
                <w:sz w:val="20"/>
              </w:rPr>
              <w:t>2</w:t>
            </w:r>
            <w:r>
              <w:rPr>
                <w:rFonts w:ascii="Times New Roman" w:hAnsi="Times New Roman"/>
                <w:caps w:val="false"/>
                <w:smallCaps w:val="false"/>
                <w:sz w:val="20"/>
              </w:rPr>
              <w:t> —</w:t>
            </w:r>
          </w:p>
        </w:tc>
        <w:tc>
          <w:tcPr>
            <w:tcW w:w="933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both"/>
              <w:rPr/>
            </w:pPr>
            <w:r>
              <w:rPr>
                <w:rFonts w:ascii="Times New Roman" w:hAnsi="Times New Roman"/>
                <w:caps w:val="false"/>
                <w:smallCaps w:val="false"/>
                <w:sz w:val="20"/>
              </w:rPr>
              <w:t>Observable inputs other than Level </w:t>
            </w:r>
            <w:r>
              <w:rPr>
                <w:rStyle w:val="Emphasis"/>
                <w:rFonts w:ascii="Times New Roman" w:hAnsi="Times New Roman"/>
                <w:caps w:val="false"/>
                <w:smallCaps w:val="false"/>
                <w:sz w:val="20"/>
              </w:rPr>
              <w:t>1</w:t>
            </w:r>
            <w:r>
              <w:rPr>
                <w:rFonts w:ascii="Times New Roman" w:hAnsi="Times New Roman"/>
                <w:caps w:val="false"/>
                <w:smallCaps w:val="false"/>
                <w:sz w:val="20"/>
              </w:rPr>
              <w:t> prices, such as quoted prices for similar assets or liabilities; quoted prices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active; or other inputs that are observable or can be corroborated by observable market data for substantially the full term of the assets or liabilities;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875"/>
        <w:gridCol w:w="9330"/>
      </w:tblGrid>
      <w:tr>
        <w:trPr/>
        <w:tc>
          <w:tcPr>
            <w:tcW w:w="87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both"/>
              <w:rPr/>
            </w:pPr>
            <w:r>
              <w:rPr>
                <w:rFonts w:ascii="Times New Roman" w:hAnsi="Times New Roman"/>
                <w:caps w:val="false"/>
                <w:smallCaps w:val="false"/>
                <w:sz w:val="20"/>
              </w:rPr>
              <w:t>Level </w:t>
            </w:r>
            <w:r>
              <w:rPr>
                <w:rStyle w:val="Emphasis"/>
                <w:rFonts w:ascii="Times New Roman" w:hAnsi="Times New Roman"/>
                <w:caps w:val="false"/>
                <w:smallCaps w:val="false"/>
                <w:sz w:val="20"/>
              </w:rPr>
              <w:t>3</w:t>
            </w:r>
            <w:r>
              <w:rPr>
                <w:rFonts w:ascii="Times New Roman" w:hAnsi="Times New Roman"/>
                <w:caps w:val="false"/>
                <w:smallCaps w:val="false"/>
                <w:sz w:val="20"/>
              </w:rPr>
              <w:t> —</w:t>
            </w:r>
          </w:p>
        </w:tc>
        <w:tc>
          <w:tcPr>
            <w:tcW w:w="933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both"/>
              <w:rPr/>
            </w:pPr>
            <w:r>
              <w:rPr>
                <w:rFonts w:ascii="Times New Roman" w:hAnsi="Times New Roman"/>
                <w:caps w:val="false"/>
                <w:smallCaps w:val="false"/>
                <w:sz w:val="20"/>
              </w:rPr>
              <w:t>Unobservable inputs that are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market activity and that are significant to the fair value of the assets or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the following table represents the Company’s fair value hierarchy for items that are required to be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6681" w:type="dxa"/>
        <w:jc w:val="left"/>
        <w:tblInd w:w="0" w:type="dxa"/>
        <w:tblLayout w:type="fixed"/>
        <w:tblCellMar>
          <w:top w:w="28" w:type="dxa"/>
          <w:left w:w="28" w:type="dxa"/>
          <w:bottom w:w="28" w:type="dxa"/>
          <w:right w:w="0" w:type="dxa"/>
        </w:tblCellMar>
      </w:tblPr>
      <w:tblGrid>
        <w:gridCol w:w="3410"/>
        <w:gridCol w:w="60"/>
        <w:gridCol w:w="191"/>
        <w:gridCol w:w="743"/>
        <w:gridCol w:w="60"/>
        <w:gridCol w:w="60"/>
        <w:gridCol w:w="127"/>
        <w:gridCol w:w="492"/>
        <w:gridCol w:w="60"/>
        <w:gridCol w:w="60"/>
        <w:gridCol w:w="127"/>
        <w:gridCol w:w="492"/>
        <w:gridCol w:w="60"/>
        <w:gridCol w:w="60"/>
        <w:gridCol w:w="377"/>
        <w:gridCol w:w="242"/>
        <w:gridCol w:w="60"/>
      </w:tblGrid>
      <w:tr>
        <w:trPr/>
        <w:tc>
          <w:tcPr>
            <w:tcW w:w="341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934" w:type="dxa"/>
            <w:gridSpan w:val="2"/>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619" w:type="dxa"/>
            <w:gridSpan w:val="2"/>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619" w:type="dxa"/>
            <w:gridSpan w:val="2"/>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619" w:type="dxa"/>
            <w:gridSpan w:val="2"/>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9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743"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7"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492"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7"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492"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377"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42"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(short-term)</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9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7,945</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7"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7,595</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27"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2"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377"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(long-term)</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9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743"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8,267</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7"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492"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6,057</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7"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492"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2,210</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377"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242"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the following table represents the Company’s fair value hierarchy for items that are required to be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6292" w:type="dxa"/>
        <w:jc w:val="left"/>
        <w:tblInd w:w="0" w:type="dxa"/>
        <w:tblLayout w:type="fixed"/>
        <w:tblCellMar>
          <w:top w:w="28" w:type="dxa"/>
          <w:left w:w="28" w:type="dxa"/>
          <w:bottom w:w="28" w:type="dxa"/>
          <w:right w:w="0" w:type="dxa"/>
        </w:tblCellMar>
      </w:tblPr>
      <w:tblGrid>
        <w:gridCol w:w="3410"/>
        <w:gridCol w:w="60"/>
        <w:gridCol w:w="60"/>
        <w:gridCol w:w="485"/>
        <w:gridCol w:w="60"/>
        <w:gridCol w:w="60"/>
        <w:gridCol w:w="68"/>
        <w:gridCol w:w="551"/>
        <w:gridCol w:w="60"/>
        <w:gridCol w:w="60"/>
        <w:gridCol w:w="68"/>
        <w:gridCol w:w="551"/>
        <w:gridCol w:w="60"/>
        <w:gridCol w:w="60"/>
        <w:gridCol w:w="265"/>
        <w:gridCol w:w="354"/>
        <w:gridCol w:w="60"/>
      </w:tblGrid>
      <w:tr>
        <w:trPr/>
        <w:tc>
          <w:tcPr>
            <w:tcW w:w="341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160" w:right="0" w:hanging="0"/>
              <w:jc w:val="left"/>
              <w:rPr/>
            </w:pPr>
            <w:r>
              <w:rPr/>
              <w:t> </w:t>
            </w:r>
          </w:p>
        </w:tc>
        <w:tc>
          <w:tcPr>
            <w:tcW w:w="545" w:type="dxa"/>
            <w:gridSpan w:val="2"/>
            <w:tcBorders>
              <w:top w:val="single" w:sz="2" w:space="0" w:color="000000"/>
              <w:left w:val="single" w:sz="2" w:space="0" w:color="000000"/>
              <w:bottom w:val="single" w:sz="2" w:space="0" w:color="000000"/>
            </w:tcBorders>
            <w:vAlign w:val="center"/>
          </w:tcPr>
          <w:p>
            <w:pPr>
              <w:pStyle w:val="TableContents"/>
              <w:bidi w:val="0"/>
              <w:spacing w:before="0" w:after="0"/>
              <w:ind w:left="3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r>
          </w:p>
          <w:p>
            <w:pPr>
              <w:pStyle w:val="TableContents"/>
              <w:bidi w:val="0"/>
              <w:spacing w:before="0" w:after="0"/>
              <w:ind w:left="3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160" w:right="0" w:hanging="0"/>
              <w:jc w:val="left"/>
              <w:rPr/>
            </w:pPr>
            <w:r>
              <w:rPr/>
              <w:t> </w:t>
            </w:r>
          </w:p>
        </w:tc>
        <w:tc>
          <w:tcPr>
            <w:tcW w:w="619" w:type="dxa"/>
            <w:gridSpan w:val="2"/>
            <w:tcBorders>
              <w:top w:val="single" w:sz="2" w:space="0" w:color="000000"/>
              <w:left w:val="single" w:sz="2" w:space="0" w:color="000000"/>
              <w:bottom w:val="single" w:sz="2" w:space="0" w:color="000000"/>
            </w:tcBorders>
            <w:vAlign w:val="center"/>
          </w:tcPr>
          <w:p>
            <w:pPr>
              <w:pStyle w:val="TableContents"/>
              <w:bidi w:val="0"/>
              <w:spacing w:before="0" w:after="0"/>
              <w:ind w:left="320" w:right="0" w:hanging="0"/>
              <w:jc w:val="center"/>
              <w:rPr/>
            </w:pPr>
            <w:r>
              <w:rPr>
                <w:rStyle w:val="Emphasis"/>
                <w:rFonts w:ascii="Times New Roman;Times;serif" w:hAnsi="Times New Roman;Times;serif"/>
                <w:b/>
                <w:caps w:val="false"/>
                <w:smallCaps w:val="false"/>
                <w:sz w:val="20"/>
              </w:rPr>
              <w:t>Level 1</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160" w:right="0" w:hanging="0"/>
              <w:jc w:val="left"/>
              <w:rPr/>
            </w:pPr>
            <w:r>
              <w:rPr/>
              <w:t> </w:t>
            </w:r>
          </w:p>
        </w:tc>
        <w:tc>
          <w:tcPr>
            <w:tcW w:w="619" w:type="dxa"/>
            <w:gridSpan w:val="2"/>
            <w:tcBorders>
              <w:top w:val="single" w:sz="2" w:space="0" w:color="000000"/>
              <w:left w:val="single" w:sz="2" w:space="0" w:color="000000"/>
              <w:bottom w:val="single" w:sz="2" w:space="0" w:color="000000"/>
            </w:tcBorders>
            <w:vAlign w:val="center"/>
          </w:tcPr>
          <w:p>
            <w:pPr>
              <w:pStyle w:val="TableContents"/>
              <w:bidi w:val="0"/>
              <w:spacing w:before="0" w:after="0"/>
              <w:ind w:left="320" w:right="0" w:hanging="0"/>
              <w:jc w:val="center"/>
              <w:rPr/>
            </w:pPr>
            <w:r>
              <w:rPr>
                <w:rStyle w:val="Emphasis"/>
                <w:rFonts w:ascii="Times New Roman;Times;serif" w:hAnsi="Times New Roman;Times;serif"/>
                <w:b/>
                <w:caps w:val="false"/>
                <w:smallCaps w:val="false"/>
                <w:sz w:val="20"/>
              </w:rPr>
              <w:t>Level 2</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160" w:right="0" w:hanging="0"/>
              <w:jc w:val="left"/>
              <w:rPr/>
            </w:pPr>
            <w:r>
              <w:rPr/>
              <w:t> </w:t>
            </w:r>
          </w:p>
        </w:tc>
        <w:tc>
          <w:tcPr>
            <w:tcW w:w="619" w:type="dxa"/>
            <w:gridSpan w:val="2"/>
            <w:tcBorders>
              <w:top w:val="single" w:sz="2" w:space="0" w:color="000000"/>
              <w:left w:val="single" w:sz="2" w:space="0" w:color="000000"/>
              <w:bottom w:val="single" w:sz="2" w:space="0" w:color="000000"/>
            </w:tcBorders>
            <w:vAlign w:val="center"/>
          </w:tcPr>
          <w:p>
            <w:pPr>
              <w:pStyle w:val="TableContents"/>
              <w:bidi w:val="0"/>
              <w:spacing w:before="0" w:after="0"/>
              <w:ind w:left="320" w:right="0" w:hanging="0"/>
              <w:jc w:val="center"/>
              <w:rPr/>
            </w:pPr>
            <w:r>
              <w:rPr>
                <w:rStyle w:val="Emphasis"/>
                <w:rFonts w:ascii="Times New Roman;Times;serif" w:hAnsi="Times New Roman;Times;serif"/>
                <w:b/>
                <w:caps w:val="false"/>
                <w:smallCaps w:val="false"/>
                <w:sz w:val="20"/>
              </w:rPr>
              <w:t>Level 3</w:t>
            </w:r>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48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8"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55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8"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55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6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354"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(short-term)</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485"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9,453</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8"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55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8,953</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8"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55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65"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354"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3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debt securities (long-term)</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485"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6,877</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8"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55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5,119</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8"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55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1,758</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65"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354"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leases its manufacturing facility under a long-term contract, which is accounted for as an operating lease. The lease provides for a fixed base rent and variable payments comprised of reimbursements for property taxes, insurance, utilities, and common area maintenance. The lease has a term of 5 years ending on </w:t>
      </w:r>
      <w:r>
        <w:rPr>
          <w:rStyle w:val="Emphasis"/>
          <w:rFonts w:ascii="Times New Roman" w:hAnsi="Times New Roman"/>
          <w:caps w:val="false"/>
          <w:smallCaps w:val="false"/>
          <w:sz w:val="20"/>
        </w:rPr>
        <w:t xml:space="preserve">April 30, 2030. </w:t>
      </w:r>
      <w:r>
        <w:rPr>
          <w:rFonts w:ascii="Times New Roman" w:hAnsi="Times New Roman"/>
          <w:caps w:val="false"/>
          <w:smallCaps w:val="false"/>
          <w:sz w:val="20"/>
        </w:rPr>
        <w:t>In accordance with ASC </w:t>
      </w:r>
      <w:r>
        <w:rPr>
          <w:rStyle w:val="Emphasis"/>
          <w:rFonts w:ascii="Times New Roman" w:hAnsi="Times New Roman"/>
          <w:caps w:val="false"/>
          <w:smallCaps w:val="false"/>
          <w:sz w:val="20"/>
        </w:rPr>
        <w:t>842,</w:t>
      </w:r>
      <w:r>
        <w:rPr>
          <w:rFonts w:ascii="Times New Roman" w:hAnsi="Times New Roman"/>
          <w:caps w:val="false"/>
          <w:smallCaps w:val="false"/>
          <w:sz w:val="20"/>
        </w:rPr>
        <w:t> Leases, lease income, which includes escalating rents over the term of the lease, is recorded on a straight-line basis over the expected lease term. The difference between lease income and payments received is recorded as a rent receivable, which is included as a prepaid expense in the consolidated balance sheets. Amounts paid for broker commissions represent prepaid direct lease costs and will be amortized as an off-set to lease income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Other Recent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Other recent accounting pronouncements issued by the FASB (including its Emerging Issues Task Force) and the SEC did </w:t>
      </w:r>
      <w:r>
        <w:rPr>
          <w:rStyle w:val="Emphasis"/>
          <w:rFonts w:ascii="Times New Roman" w:hAnsi="Times New Roman"/>
          <w:caps w:val="false"/>
          <w:smallCaps w:val="false"/>
          <w:sz w:val="20"/>
        </w:rPr>
        <w:t>not</w:t>
      </w:r>
      <w:r>
        <w:rPr>
          <w:rFonts w:ascii="Times New Roman" w:hAnsi="Times New Roman"/>
          <w:caps w:val="false"/>
          <w:smallCaps w:val="false"/>
          <w:sz w:val="20"/>
        </w:rPr>
        <w:t> or are </w:t>
      </w:r>
      <w:r>
        <w:rPr>
          <w:rStyle w:val="Emphasis"/>
          <w:rFonts w:ascii="Times New Roman" w:hAnsi="Times New Roman"/>
          <w:caps w:val="false"/>
          <w:smallCaps w:val="false"/>
          <w:sz w:val="20"/>
        </w:rPr>
        <w:t>not</w:t>
      </w:r>
      <w:r>
        <w:rPr>
          <w:rFonts w:ascii="Times New Roman" w:hAnsi="Times New Roman"/>
          <w:caps w:val="false"/>
          <w:smallCaps w:val="false"/>
          <w:sz w:val="20"/>
        </w:rPr>
        <w:t> believed by management to have a material impact on the Company's present or future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rPr>
        <w:t>SIGNIFICANT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Yihao Manufacturing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12, 2022, </w:t>
      </w:r>
      <w:r>
        <w:rPr>
          <w:rFonts w:ascii="Times New Roman" w:hAnsi="Times New Roman"/>
          <w:caps w:val="false"/>
          <w:smallCaps w:val="false"/>
          <w:sz w:val="20"/>
        </w:rPr>
        <w:t>the Company entered into a manufacturing agreement (“Manufacturing Agreement”) with Dongguan Yihao Metal Materials Technology Co. Ltd. (“Yihao”) to become the primary contract manufacturer of the Company’s products. Under the Manufacturing Agreement, which has a term of </w:t>
      </w:r>
      <w:r>
        <w:rPr>
          <w:rStyle w:val="Emphasis"/>
          <w:rFonts w:ascii="Times New Roman" w:hAnsi="Times New Roman"/>
          <w:caps w:val="false"/>
          <w:smallCaps w:val="false"/>
          <w:sz w:val="20"/>
        </w:rPr>
        <w:t>five</w:t>
      </w:r>
      <w:r>
        <w:rPr>
          <w:rFonts w:ascii="Times New Roman" w:hAnsi="Times New Roman"/>
          <w:caps w:val="false"/>
          <w:smallCaps w:val="false"/>
          <w:sz w:val="20"/>
        </w:rPr>
        <w:t> years, Yihao has agreed to serve as a non-exclusive contract manufacturer for amorphous alloy parts offered and sold by the Company at prices determined on a “cost-plus” basis. Yihao is an affiliate of Dongguan Eontec Co. Ltd. and Professor Lugee Li, our Chairman and largest beneficial owner of the Company’s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Corporate Facility Purchase and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February 16, 2017, </w:t>
      </w:r>
      <w:r>
        <w:rPr>
          <w:rFonts w:ascii="Times New Roman" w:hAnsi="Times New Roman"/>
          <w:caps w:val="false"/>
          <w:smallCaps w:val="false"/>
          <w:sz w:val="20"/>
        </w:rPr>
        <w:t>the Company purchased a 41,000 square foot facility (the “Facility”) located in Lake Forest, CA, where operations commenced during  </w:t>
      </w:r>
      <w:r>
        <w:rPr>
          <w:rStyle w:val="Emphasis"/>
          <w:rFonts w:ascii="Times New Roman" w:hAnsi="Times New Roman"/>
          <w:caps w:val="false"/>
          <w:smallCaps w:val="false"/>
          <w:sz w:val="20"/>
        </w:rPr>
        <w:t xml:space="preserve"> July 2017. </w:t>
      </w:r>
      <w:r>
        <w:rPr>
          <w:rFonts w:ascii="Times New Roman" w:hAnsi="Times New Roman"/>
          <w:caps w:val="false"/>
          <w:smallCaps w:val="false"/>
          <w:sz w:val="20"/>
        </w:rPr>
        <w:t>The purchase price for the Facility was $7,818.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23, 2020, 20321</w:t>
      </w:r>
      <w:r>
        <w:rPr>
          <w:rFonts w:ascii="Times New Roman" w:hAnsi="Times New Roman"/>
          <w:caps w:val="false"/>
          <w:smallCaps w:val="false"/>
          <w:sz w:val="20"/>
        </w:rPr>
        <w:t> Valencia, LLC, a Delaware limited liability company and wholly owned subsidiary of the Company, entered into a lease agreement pursuant to which the Company leased to MatterHackers, Inc., a Delaware corporation (“Tenant”), an approximately 32,534 square foot portion of the Facility. The lease term was for 5 years and </w:t>
      </w:r>
      <w:r>
        <w:rPr>
          <w:rStyle w:val="Emphasis"/>
          <w:rFonts w:ascii="Times New Roman" w:hAnsi="Times New Roman"/>
          <w:caps w:val="false"/>
          <w:smallCaps w:val="false"/>
          <w:sz w:val="20"/>
        </w:rPr>
        <w:t>2</w:t>
      </w:r>
      <w:r>
        <w:rPr>
          <w:rFonts w:ascii="Times New Roman" w:hAnsi="Times New Roman"/>
          <w:caps w:val="false"/>
          <w:smallCaps w:val="false"/>
          <w:sz w:val="20"/>
        </w:rPr>
        <w:t> months and expired on  </w:t>
      </w:r>
      <w:r>
        <w:rPr>
          <w:rStyle w:val="Emphasis"/>
          <w:rFonts w:ascii="Times New Roman" w:hAnsi="Times New Roman"/>
          <w:caps w:val="false"/>
          <w:smallCaps w:val="false"/>
          <w:sz w:val="20"/>
        </w:rPr>
        <w:t xml:space="preserve"> April 30,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26, 2025, </w:t>
      </w:r>
      <w:r>
        <w:rPr>
          <w:rFonts w:ascii="Times New Roman" w:hAnsi="Times New Roman"/>
          <w:caps w:val="false"/>
          <w:smallCaps w:val="false"/>
          <w:sz w:val="20"/>
        </w:rPr>
        <w:t xml:space="preserve">the Company entered into a new lease agreement (the “Facility Lease”) for a 5 year term commencing on </w:t>
      </w:r>
      <w:r>
        <w:rPr>
          <w:rStyle w:val="Emphasis"/>
          <w:rFonts w:ascii="Times New Roman" w:hAnsi="Times New Roman"/>
          <w:caps w:val="false"/>
          <w:smallCaps w:val="false"/>
          <w:sz w:val="20"/>
        </w:rPr>
        <w:t xml:space="preserve">May 1, 2025 </w:t>
      </w:r>
      <w:r>
        <w:rPr>
          <w:rFonts w:ascii="Times New Roman" w:hAnsi="Times New Roman"/>
          <w:caps w:val="false"/>
          <w:smallCaps w:val="false"/>
          <w:sz w:val="20"/>
        </w:rPr>
        <w:t xml:space="preserve">and expanded the leased square footage to 40,090 square feet. The base rent payable under the Facility Lease is $51,716 per month initially and is subject to periodic increases up to a maximum of approximately $58,000 per month. Tenant will pay approximately 98% of building operating expenses. The Facility Lease grants the Company or Tenant the right to terminate the Facility Lease after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and a half years into the lease term and has other customary provisions, including provisions relating to default and usage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caps w:val="false"/>
          <w:smallCaps w:val="false"/>
          <w:sz w:val="20"/>
          <w:u w:val="single"/>
        </w:rPr>
        <w:t>2016</w:t>
      </w:r>
      <w:r>
        <w:rPr>
          <w:rFonts w:ascii="Times New Roman" w:hAnsi="Times New Roman"/>
          <w:caps w:val="false"/>
          <w:smallCaps w:val="false"/>
          <w:sz w:val="20"/>
          <w:u w:val="single"/>
        </w:rPr>
        <w:t> </w:t>
      </w:r>
      <w:r>
        <w:rPr>
          <w:rFonts w:ascii="Times New Roman" w:hAnsi="Times New Roman"/>
          <w:b/>
          <w:caps w:val="false"/>
          <w:smallCaps w:val="false"/>
          <w:sz w:val="20"/>
          <w:u w:val="single"/>
        </w:rPr>
        <w:t>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10, 2016, </w:t>
      </w:r>
      <w:r>
        <w:rPr>
          <w:rFonts w:ascii="Times New Roman" w:hAnsi="Times New Roman"/>
          <w:caps w:val="false"/>
          <w:smallCaps w:val="false"/>
          <w:sz w:val="20"/>
        </w:rPr>
        <w:t>the Company entered into a Securities Purchase Agreement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with Liquidmetal Technology Limited, a Hong Kong company (the “Investor”), which is controlled by the Company’s Chairman, Professor Li.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provided for the purchase by the Investor of a total of 405,000,000 shares of the Company’s common stock for an aggregate purchase price of $63,400. The transaction occurred in multiple closings, with the Investor having purchased 105,000,000 shares at a purchase price of $8,400 (or $0.08 per share) at the initial closing on  </w:t>
      </w:r>
      <w:r>
        <w:rPr>
          <w:rStyle w:val="Emphasis"/>
          <w:rFonts w:ascii="Times New Roman" w:hAnsi="Times New Roman"/>
          <w:caps w:val="false"/>
          <w:smallCaps w:val="false"/>
          <w:sz w:val="20"/>
        </w:rPr>
        <w:t xml:space="preserve"> March 10, 2016 </w:t>
      </w:r>
      <w:r>
        <w:rPr>
          <w:rFonts w:ascii="Times New Roman" w:hAnsi="Times New Roman"/>
          <w:caps w:val="false"/>
          <w:smallCaps w:val="false"/>
          <w:sz w:val="20"/>
        </w:rPr>
        <w:t>and the remaining 200,000,000 shares at $0.15 per share and 100,000,000 shares at $0.25 per share for an aggregate purchase price of $55,000 on  </w:t>
      </w:r>
      <w:r>
        <w:rPr>
          <w:rStyle w:val="Emphasis"/>
          <w:rFonts w:ascii="Times New Roman" w:hAnsi="Times New Roman"/>
          <w:caps w:val="false"/>
          <w:smallCaps w:val="false"/>
          <w:sz w:val="20"/>
        </w:rPr>
        <w:t xml:space="preserve"> October 26, 2016.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10, 2024, </w:t>
      </w:r>
      <w:r>
        <w:rPr>
          <w:rFonts w:ascii="Times New Roman" w:hAnsi="Times New Roman"/>
          <w:caps w:val="false"/>
          <w:smallCaps w:val="false"/>
          <w:sz w:val="20"/>
        </w:rPr>
        <w:t xml:space="preserve">the Investor sold 179,787,888 to various buyers leaving 225,212,112 shares of our common stock owned by the Investor as of </w:t>
      </w:r>
      <w:r>
        <w:rPr>
          <w:rStyle w:val="Emphasis"/>
          <w:rFonts w:ascii="Times New Roman" w:hAnsi="Times New Roman"/>
          <w:caps w:val="false"/>
          <w:smallCaps w:val="false"/>
          <w:sz w:val="20"/>
        </w:rPr>
        <w:t>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addition to the shares issuable under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the Company issued to the Investor a warrant to acquire 10,066,809 shares of common stock at an exercise price of $0.07 per share. The warrant will expire on the tenth anniversary of its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Eontec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10, 2016, </w:t>
      </w:r>
      <w:r>
        <w:rPr>
          <w:rFonts w:ascii="Times New Roman" w:hAnsi="Times New Roman"/>
          <w:caps w:val="false"/>
          <w:smallCaps w:val="false"/>
          <w:sz w:val="20"/>
        </w:rPr>
        <w:t>in connection with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the Company and DongGuan Eontec Co., Ltd., a Hong Kong corporation (“Eontec”), entered into a Parallel License Agreement (the “License Agreement”) pursuant to which the Company and Eontec agreed to perpetually cross-license their respective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License Agreement provides for the cross-license of certain patents, technical information, and trademarks between the Company and Eontec. In particular, the Company granted to Eontec a paid-up, royalty-free, perpetual license to the Company’s patents and related technical information to make, have made, use, offer to sell, sell, export, and import products in certain geographic areas outside of North America and Europe. In turn, Eontec granted to the Company a paid-up, royalty-free, perpetual license to Eontec’s patents and related technical information to make, have made, use, offer to sell, sell, export, and import products in certain geographic areas outside of specified countries in Asia. The license granted by the Company to Eontec is exclusive (including to the exclusion of the Company) in the countries of Brunei, Cambodia, China (P.R.C and R.O.C.), East Timor, Indonesia, Japan, Laos, Malaysia, Myanmar, Philippines, Singapore, South Korea, Thailand, and Vietnam. The license granted by Eontec to the Company is exclusive (including to the exclusion of Eontec) in North America and Europe. The cross-licenses are non-exclusive in geographic areas outside of the foregoing exclusive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Eutectix Business Development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31, 2020, </w:t>
      </w:r>
      <w:r>
        <w:rPr>
          <w:rFonts w:ascii="Times New Roman" w:hAnsi="Times New Roman"/>
          <w:caps w:val="false"/>
          <w:smallCaps w:val="false"/>
          <w:sz w:val="20"/>
        </w:rPr>
        <w:t xml:space="preserve">the Company entered into a Business Development Agreement (the “Agreement”) with Eutectix, LLC, a Delaware limited liability company (“Eutectix”), which provided for collaboration, joint development efforts, and the manufacturing of products based on the Company’s proprietary amorphous metal alloys. Under the Agreement, the Company licensed to Eutectix specified equipment owned by the Company and also licensed various patents and technical information related to the Company’s proprietary technology. The Agreement expired on </w:t>
      </w:r>
      <w:r>
        <w:rPr>
          <w:rStyle w:val="Emphasis"/>
          <w:rFonts w:ascii="Times New Roman" w:hAnsi="Times New Roman"/>
          <w:caps w:val="false"/>
          <w:smallCaps w:val="false"/>
          <w:sz w:val="20"/>
        </w:rPr>
        <w:t>January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Apple License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August 5, 2010, </w:t>
      </w:r>
      <w:r>
        <w:rPr>
          <w:rFonts w:ascii="Times New Roman" w:hAnsi="Times New Roman"/>
          <w:caps w:val="false"/>
          <w:smallCaps w:val="false"/>
          <w:sz w:val="20"/>
        </w:rPr>
        <w:t>the Company entered into a license transaction with Apple Inc. (“Apple”) pursuant to which (i) the Company contributed substantially all of its intellectual property assets to a newly organized special-purpose, wholly-owned subsidiary, called Crucible Intellectual Property, LLC (“CIP”), (ii) CIP granted to Apple a perpetual, worldwide, exclusive license to commercialize such intellectual property in the field of consumer electronic products, as defined in the license agreement, in exchange for a </w:t>
      </w:r>
      <w:r>
        <w:rPr>
          <w:rStyle w:val="Emphasis"/>
          <w:rFonts w:ascii="Times New Roman" w:hAnsi="Times New Roman"/>
          <w:caps w:val="false"/>
          <w:smallCaps w:val="false"/>
          <w:sz w:val="20"/>
        </w:rPr>
        <w:t>one</w:t>
      </w:r>
      <w:r>
        <w:rPr>
          <w:rFonts w:ascii="Times New Roman" w:hAnsi="Times New Roman"/>
          <w:caps w:val="false"/>
          <w:smallCaps w:val="false"/>
          <w:sz w:val="20"/>
        </w:rPr>
        <w:t>-time, upfront license fee, and (iii) CIP granted back to the Company a perpetual, worldwide, fully-paid, exclusive license to commercialize such intellectual property in all other fields of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Liquidmetal Golf Sublicense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Liquidmetal Golf Inc. (“Liquidmetal Golf” or “LMG”) is a majority-owned subsidiary which has the exclusive right and license to utilize our Liquidmetal alloy technology for purposes of golf equipment applications. This right and license is set forth in an intercompany license agreement dated  </w:t>
      </w:r>
      <w:r>
        <w:rPr>
          <w:rStyle w:val="Emphasis"/>
          <w:rFonts w:ascii="Times New Roman" w:hAnsi="Times New Roman"/>
          <w:caps w:val="false"/>
          <w:smallCaps w:val="false"/>
          <w:sz w:val="20"/>
        </w:rPr>
        <w:t xml:space="preserve"> January 1, 2002 </w:t>
      </w:r>
      <w:r>
        <w:rPr>
          <w:rFonts w:ascii="Times New Roman" w:hAnsi="Times New Roman"/>
          <w:caps w:val="false"/>
          <w:smallCaps w:val="false"/>
          <w:sz w:val="20"/>
        </w:rPr>
        <w:t>between Liquidmetal Technologies and Liquidmetal Golf. This license agreement provides that Liquidmetal Golf has a perpetual and exclusive license to use Liquidmetal alloy technology for the purpose of manufacturing, marketing, and selling golf club components and other products used in the sport of golf. The Company owns 79% of the outstanding common stock in Liquidmetal Golf.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January 13, 2022, </w:t>
      </w:r>
      <w:r>
        <w:rPr>
          <w:rFonts w:ascii="Times New Roman" w:hAnsi="Times New Roman"/>
          <w:caps w:val="false"/>
          <w:smallCaps w:val="false"/>
          <w:sz w:val="20"/>
        </w:rPr>
        <w:t>Liquidmetal Golf entered into a sublicense agreement (“LMG Sublicense Agreement”) with Amorphous Technologies Japan, Inc. (“ATJ”), a newly formed Japanese entity that was established by Twins Corporation, a sporting goods company operating in Japan. Under the agreement, LMG granted ATJ a nonexclusive worldwide sublicense to the Company’s amorphous alloy technology and related trademarks to manufacture and sell golf clubs and golf related products. The original term of three years was extended to have automatic, annual renewals and provided for the payment of a running royalty to LMG of 3% of the net sales price of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Swatch Group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March 2009, </w:t>
      </w:r>
      <w:r>
        <w:rPr>
          <w:rFonts w:ascii="Times New Roman" w:hAnsi="Times New Roman"/>
          <w:caps w:val="false"/>
          <w:smallCaps w:val="false"/>
          <w:sz w:val="20"/>
        </w:rPr>
        <w:t>the Company entered into a license agreement with Swatch Group, Ltd. (“Swatch”) under which Swatch was granted a non-exclusive license to the Company’s technology to produce and market watches and certain other luxury products. In  </w:t>
      </w:r>
      <w:r>
        <w:rPr>
          <w:rStyle w:val="Emphasis"/>
          <w:rFonts w:ascii="Times New Roman" w:hAnsi="Times New Roman"/>
          <w:caps w:val="false"/>
          <w:smallCaps w:val="false"/>
          <w:sz w:val="20"/>
        </w:rPr>
        <w:t xml:space="preserve"> March 2011, </w:t>
      </w:r>
      <w:r>
        <w:rPr>
          <w:rFonts w:ascii="Times New Roman" w:hAnsi="Times New Roman"/>
          <w:caps w:val="false"/>
          <w:smallCaps w:val="false"/>
          <w:sz w:val="20"/>
        </w:rPr>
        <w:t>this license agreement was amended to grant Swatch exclusive rights as to watches as against all </w:t>
      </w:r>
      <w:r>
        <w:rPr>
          <w:rStyle w:val="Emphasis"/>
          <w:rFonts w:ascii="Times New Roman" w:hAnsi="Times New Roman"/>
          <w:caps w:val="false"/>
          <w:smallCaps w:val="false"/>
          <w:sz w:val="20"/>
        </w:rPr>
        <w:t>third</w:t>
      </w:r>
      <w:r>
        <w:rPr>
          <w:rFonts w:ascii="Times New Roman" w:hAnsi="Times New Roman"/>
          <w:caps w:val="false"/>
          <w:smallCaps w:val="false"/>
          <w:sz w:val="20"/>
        </w:rPr>
        <w:t> parties (including the Company), but non-exclusive as to Apple. The Company will receive royalty payments over the life of the contract on all Liquidmetal products produced and sold by Swatch. The license agreement with Swatch will expire on the expiration date of the last licensed patent.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4.</w:t>
      </w:r>
      <w:r>
        <w:rPr>
          <w:rFonts w:ascii="Times New Roman" w:hAnsi="Times New Roman"/>
          <w:caps w:val="false"/>
          <w:smallCaps w:val="false"/>
          <w:sz w:val="20"/>
        </w:rPr>
        <w:t> </w:t>
      </w:r>
      <w:r>
        <w:rPr>
          <w:rFonts w:ascii="Times New Roman" w:hAnsi="Times New Roman"/>
          <w:b/>
          <w:caps w:val="false"/>
          <w:smallCaps w:val="false"/>
          <w:sz w:val="20"/>
        </w:rPr>
        <w:t>INVESTMENTS IN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amortized cost fair value, and unrealized gains (losses) of investments in debt securities (short-term and long-term):</w:t>
      </w:r>
    </w:p>
    <w:p>
      <w:pPr>
        <w:pStyle w:val="TextBody"/>
        <w:bidi w:val="0"/>
        <w:spacing w:before="0" w:after="0"/>
        <w:ind w:left="0" w:right="0" w:hanging="0"/>
        <w:jc w:val="left"/>
        <w:rPr>
          <w:caps w:val="false"/>
          <w:smallCaps w:val="false"/>
        </w:rPr>
      </w:pPr>
      <w:r>
        <w:rPr>
          <w:caps w:val="false"/>
          <w:smallCaps w:val="false"/>
        </w:rPr>
        <w:t> </w:t>
      </w:r>
    </w:p>
    <w:tbl>
      <w:tblPr>
        <w:tblW w:w="8561" w:type="dxa"/>
        <w:jc w:val="left"/>
        <w:tblInd w:w="0" w:type="dxa"/>
        <w:tblLayout w:type="fixed"/>
        <w:tblCellMar>
          <w:top w:w="0" w:type="dxa"/>
          <w:left w:w="0" w:type="dxa"/>
          <w:bottom w:w="0" w:type="dxa"/>
          <w:right w:w="0" w:type="dxa"/>
        </w:tblCellMar>
      </w:tblPr>
      <w:tblGrid>
        <w:gridCol w:w="3155"/>
        <w:gridCol w:w="1190"/>
        <w:gridCol w:w="60"/>
        <w:gridCol w:w="66"/>
        <w:gridCol w:w="658"/>
        <w:gridCol w:w="60"/>
        <w:gridCol w:w="60"/>
        <w:gridCol w:w="105"/>
        <w:gridCol w:w="1039"/>
        <w:gridCol w:w="60"/>
        <w:gridCol w:w="60"/>
        <w:gridCol w:w="66"/>
        <w:gridCol w:w="658"/>
        <w:gridCol w:w="60"/>
        <w:gridCol w:w="60"/>
        <w:gridCol w:w="105"/>
        <w:gridCol w:w="1039"/>
        <w:gridCol w:w="60"/>
      </w:tblGrid>
      <w:tr>
        <w:trPr/>
        <w:tc>
          <w:tcPr>
            <w:tcW w:w="315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Longest</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ind w:left="0" w:right="0" w:hanging="0"/>
              <w:jc w:val="left"/>
              <w:rPr/>
            </w:pPr>
            <w:r>
              <w:rPr/>
              <w:t> </w:t>
            </w:r>
          </w:p>
        </w:tc>
        <w:tc>
          <w:tcPr>
            <w:tcW w:w="1190"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Maturity Date</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government and agency securities</w:t>
            </w:r>
          </w:p>
        </w:tc>
        <w:tc>
          <w:tcPr>
            <w:tcW w:w="119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0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10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13,488</w:t>
            </w:r>
          </w:p>
        </w:tc>
        <w:tc>
          <w:tcPr>
            <w:tcW w:w="6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bonds</w:t>
            </w:r>
          </w:p>
        </w:tc>
        <w:tc>
          <w:tcPr>
            <w:tcW w:w="119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2031</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2,841</w:t>
            </w:r>
          </w:p>
        </w:tc>
        <w:tc>
          <w:tcPr>
            <w:tcW w:w="6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of deposit</w:t>
            </w:r>
          </w:p>
        </w:tc>
        <w:tc>
          <w:tcPr>
            <w:tcW w:w="119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One-year</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16,329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Income from these investments totaled $168 and $410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 xml:space="preserve">respectively, and $274 and $517 during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2024, </w:t>
      </w:r>
      <w:r>
        <w:rPr>
          <w:rFonts w:ascii="Times New Roman" w:hAnsi="Times New Roman"/>
          <w:caps w:val="false"/>
          <w:smallCaps w:val="false"/>
          <w:sz w:val="20"/>
        </w:rPr>
        <w:t>respectively. Such amounts are included as a portion of interest and investment income on the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Based on the Company’s review of its debt securities that are individually in an unrealized loss position at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it was determined that the losses were primarily the result current economic factors, impacting all global debt and equity markets, that are the result of global macro events. The impact of the Company’s investment portfolio is considered to be temporary, rather than a deterioration of overall credit quality. As of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all investments are current on their scheduled interest and dividend payments.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intend to sell and it is </w:t>
      </w:r>
      <w:r>
        <w:rPr>
          <w:rStyle w:val="Emphasis"/>
          <w:rFonts w:ascii="Times New Roman" w:hAnsi="Times New Roman"/>
          <w:caps w:val="false"/>
          <w:smallCaps w:val="false"/>
          <w:sz w:val="20"/>
        </w:rPr>
        <w:t>not</w:t>
      </w:r>
      <w:r>
        <w:rPr>
          <w:rFonts w:ascii="Times New Roman" w:hAnsi="Times New Roman"/>
          <w:caps w:val="false"/>
          <w:smallCaps w:val="false"/>
          <w:sz w:val="20"/>
        </w:rPr>
        <w:t> likely that the Company will be required to sell these securities prior to recovering their amortized cost. As such,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consider these securities to be other-than-temporarily impaired as of </w:t>
      </w:r>
      <w:r>
        <w:rPr>
          <w:rStyle w:val="Emphasis"/>
          <w:rFonts w:ascii="Times New Roman" w:hAnsi="Times New Roman"/>
          <w:caps w:val="false"/>
          <w:smallCaps w:val="false"/>
          <w:sz w:val="20"/>
        </w:rPr>
        <w:t xml:space="preserve">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Investment in debt securities activities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9499" w:type="dxa"/>
        <w:jc w:val="left"/>
        <w:tblInd w:w="0" w:type="dxa"/>
        <w:tblLayout w:type="fixed"/>
        <w:tblCellMar>
          <w:top w:w="0" w:type="dxa"/>
          <w:left w:w="0" w:type="dxa"/>
          <w:bottom w:w="0" w:type="dxa"/>
          <w:right w:w="0" w:type="dxa"/>
        </w:tblCellMar>
      </w:tblPr>
      <w:tblGrid>
        <w:gridCol w:w="4505"/>
        <w:gridCol w:w="60"/>
        <w:gridCol w:w="183"/>
        <w:gridCol w:w="953"/>
        <w:gridCol w:w="117"/>
        <w:gridCol w:w="88"/>
        <w:gridCol w:w="183"/>
        <w:gridCol w:w="953"/>
        <w:gridCol w:w="80"/>
        <w:gridCol w:w="60"/>
        <w:gridCol w:w="165"/>
        <w:gridCol w:w="861"/>
        <w:gridCol w:w="106"/>
        <w:gridCol w:w="79"/>
        <w:gridCol w:w="165"/>
        <w:gridCol w:w="861"/>
        <w:gridCol w:w="80"/>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7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1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debt securities – 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17,205</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16,330</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14,390</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4,927</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8,973</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at cost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8,927</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5,118</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gain from sale of investment in debt securities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dividend income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gain</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management fees and other fees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Withdrawals from debt securities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(10,382</w:t>
            </w:r>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(10,720</w:t>
            </w:r>
          </w:p>
        </w:tc>
        <w:tc>
          <w:tcPr>
            <w:tcW w:w="1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debt securities – ending balance</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16,212</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16,212</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15,792</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 current portion</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(7,945</w:t>
            </w:r>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(7,945</w:t>
            </w:r>
          </w:p>
        </w:tc>
        <w:tc>
          <w:tcPr>
            <w:tcW w:w="1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debt securities – non-current</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8,267</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8,267</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TRADE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Trade accounts receivable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3973" w:type="dxa"/>
        <w:jc w:val="left"/>
        <w:tblInd w:w="0" w:type="dxa"/>
        <w:tblLayout w:type="fixed"/>
        <w:tblCellMar>
          <w:top w:w="0" w:type="dxa"/>
          <w:left w:w="0" w:type="dxa"/>
          <w:bottom w:w="0" w:type="dxa"/>
          <w:right w:w="0" w:type="dxa"/>
        </w:tblCellMar>
      </w:tblPr>
      <w:tblGrid>
        <w:gridCol w:w="1745"/>
        <w:gridCol w:w="60"/>
        <w:gridCol w:w="209"/>
        <w:gridCol w:w="560"/>
        <w:gridCol w:w="60"/>
        <w:gridCol w:w="60"/>
        <w:gridCol w:w="429"/>
        <w:gridCol w:w="790"/>
        <w:gridCol w:w="60"/>
      </w:tblGrid>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receivables</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6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 Allowance</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16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Prepaid expenses and other current assets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5938" w:type="dxa"/>
        <w:jc w:val="left"/>
        <w:tblInd w:w="0" w:type="dxa"/>
        <w:tblLayout w:type="fixed"/>
        <w:tblCellMar>
          <w:top w:w="0" w:type="dxa"/>
          <w:left w:w="0" w:type="dxa"/>
          <w:bottom w:w="0" w:type="dxa"/>
          <w:right w:w="0" w:type="dxa"/>
        </w:tblCellMar>
      </w:tblPr>
      <w:tblGrid>
        <w:gridCol w:w="3755"/>
        <w:gridCol w:w="60"/>
        <w:gridCol w:w="197"/>
        <w:gridCol w:w="527"/>
        <w:gridCol w:w="60"/>
        <w:gridCol w:w="60"/>
        <w:gridCol w:w="330"/>
        <w:gridCol w:w="889"/>
        <w:gridCol w:w="6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service invoices</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insurance premiums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lease costs and receivables- short term</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5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ind w:left="0" w:right="0" w:hanging="0"/>
              <w:jc w:val="left"/>
              <w:rPr/>
            </w:pPr>
            <w:r>
              <w:rPr/>
              <w:t> </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receivables</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Inventories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3583" w:type="dxa"/>
        <w:jc w:val="left"/>
        <w:tblInd w:w="0" w:type="dxa"/>
        <w:tblLayout w:type="fixed"/>
        <w:tblCellMar>
          <w:top w:w="0" w:type="dxa"/>
          <w:left w:w="0" w:type="dxa"/>
          <w:bottom w:w="0" w:type="dxa"/>
          <w:right w:w="0" w:type="dxa"/>
        </w:tblCellMar>
      </w:tblPr>
      <w:tblGrid>
        <w:gridCol w:w="1400"/>
        <w:gridCol w:w="60"/>
        <w:gridCol w:w="441"/>
        <w:gridCol w:w="283"/>
        <w:gridCol w:w="60"/>
        <w:gridCol w:w="60"/>
        <w:gridCol w:w="429"/>
        <w:gridCol w:w="790"/>
        <w:gridCol w:w="60"/>
      </w:tblGrid>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progress</w:t>
            </w:r>
          </w:p>
        </w:tc>
        <w:tc>
          <w:tcPr>
            <w:tcW w:w="60" w:type="dxa"/>
            <w:tcBorders/>
            <w:shd w:fill="CCEEFF" w:val="clear"/>
            <w:vAlign w:val="center"/>
          </w:tcPr>
          <w:p>
            <w:pPr>
              <w:pStyle w:val="TableContents"/>
              <w:bidi w:val="0"/>
              <w:spacing w:before="0" w:after="283"/>
              <w:ind w:left="0" w:right="0" w:hanging="0"/>
              <w:jc w:val="left"/>
              <w:rPr/>
            </w:pPr>
            <w:r>
              <w:rPr/>
              <w:t> </w:t>
            </w:r>
          </w:p>
        </w:tc>
        <w:tc>
          <w:tcPr>
            <w:tcW w:w="4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FFFFFF" w:val="clear"/>
            <w:vAlign w:val="center"/>
          </w:tcPr>
          <w:p>
            <w:pPr>
              <w:pStyle w:val="TableContents"/>
              <w:bidi w:val="0"/>
              <w:spacing w:before="0" w:after="283"/>
              <w:jc w:val="left"/>
              <w:rPr/>
            </w:pPr>
            <w:r>
              <w:rPr/>
              <w:t> </w:t>
            </w:r>
          </w:p>
        </w:tc>
        <w:tc>
          <w:tcPr>
            <w:tcW w:w="4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16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4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and equipment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6248" w:type="dxa"/>
        <w:jc w:val="left"/>
        <w:tblInd w:w="0" w:type="dxa"/>
        <w:tblLayout w:type="fixed"/>
        <w:tblCellMar>
          <w:top w:w="0" w:type="dxa"/>
          <w:left w:w="0" w:type="dxa"/>
          <w:bottom w:w="0" w:type="dxa"/>
          <w:right w:w="0" w:type="dxa"/>
        </w:tblCellMar>
      </w:tblPr>
      <w:tblGrid>
        <w:gridCol w:w="4025"/>
        <w:gridCol w:w="60"/>
        <w:gridCol w:w="126"/>
        <w:gridCol w:w="598"/>
        <w:gridCol w:w="80"/>
        <w:gridCol w:w="60"/>
        <w:gridCol w:w="211"/>
        <w:gridCol w:w="1008"/>
        <w:gridCol w:w="80"/>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building, 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9,610</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equipment, furnishings, and improvements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11,237</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CCEEFF" w:val="clear"/>
            <w:vAlign w:val="center"/>
          </w:tcPr>
          <w:p>
            <w:pPr>
              <w:pStyle w:val="TableContents"/>
              <w:bidi w:val="0"/>
              <w:spacing w:before="0" w:after="0"/>
              <w:ind w:left="16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Depreciation expense were $77 and $155 for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2025 , </w:t>
      </w:r>
      <w:r>
        <w:rPr>
          <w:rFonts w:ascii="Times New Roman" w:hAnsi="Times New Roman"/>
          <w:caps w:val="false"/>
          <w:smallCaps w:val="false"/>
          <w:sz w:val="20"/>
        </w:rPr>
        <w:t>respectively, and were $77 and $155 for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2024, </w:t>
      </w:r>
      <w:r>
        <w:rPr>
          <w:rFonts w:ascii="Times New Roman" w:hAnsi="Times New Roman"/>
          <w:caps w:val="false"/>
          <w:smallCaps w:val="false"/>
          <w:sz w:val="20"/>
        </w:rPr>
        <w:t>respectively. Such amounts were included in selling, marketing, general, and administrative expenses within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PATENTS AND TRADEMARKS,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Patents and trademarks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5198" w:type="dxa"/>
        <w:jc w:val="left"/>
        <w:tblInd w:w="0" w:type="dxa"/>
        <w:tblLayout w:type="fixed"/>
        <w:tblCellMar>
          <w:top w:w="0" w:type="dxa"/>
          <w:left w:w="0" w:type="dxa"/>
          <w:bottom w:w="0" w:type="dxa"/>
          <w:right w:w="0" w:type="dxa"/>
        </w:tblCellMar>
      </w:tblPr>
      <w:tblGrid>
        <w:gridCol w:w="2975"/>
        <w:gridCol w:w="60"/>
        <w:gridCol w:w="135"/>
        <w:gridCol w:w="589"/>
        <w:gridCol w:w="80"/>
        <w:gridCol w:w="60"/>
        <w:gridCol w:w="227"/>
        <w:gridCol w:w="992"/>
        <w:gridCol w:w="80"/>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8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Purchased and licensed patent rights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Internally developed patents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75" w:type="dxa"/>
            <w:tcBorders/>
            <w:shd w:fill="FFFFFF" w:val="clear"/>
            <w:vAlign w:val="center"/>
          </w:tcPr>
          <w:p>
            <w:pPr>
              <w:pStyle w:val="TableContents"/>
              <w:bidi w:val="0"/>
              <w:spacing w:before="0" w:after="0"/>
              <w:ind w:left="16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Purchased patent rights represent the exclusive right to commercialize the bulk amorphous alloy and other amorphous alloy technology acquired from California Institute of Technology (“Caltech”), through a license agreement with Caltech and other institutions. All fees and other amounts payable by the Company for these rights and licenses have been paid or accrued in full, and </w:t>
      </w:r>
      <w:r>
        <w:rPr>
          <w:rStyle w:val="Emphasis"/>
          <w:rFonts w:ascii="Times New Roman" w:hAnsi="Times New Roman"/>
          <w:caps w:val="false"/>
          <w:smallCaps w:val="false"/>
          <w:sz w:val="20"/>
        </w:rPr>
        <w:t>no</w:t>
      </w:r>
      <w:r>
        <w:rPr>
          <w:rFonts w:ascii="Times New Roman" w:hAnsi="Times New Roman"/>
          <w:caps w:val="false"/>
          <w:smallCaps w:val="false"/>
          <w:sz w:val="20"/>
        </w:rPr>
        <w:t> further royalties, license fees, or other amounts will be payable in the future under the license agreement. In addition to the purchased and licensed patents, the Company has internally developed patents. Internally developed patents include legal and registration costs incurred to obtain the respective patents. The Company currently holds various patents and numerous pending patent applications in the United States, as well as numerous foreign counterparts to these patents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amortizes capitalized patents and trademarks over an average of 10-to-17-year periods. Amortization expense for patents and trademarks was $3 and $7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 xml:space="preserve">respectively, and $5 and $9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2024, </w:t>
      </w:r>
      <w:r>
        <w:rPr>
          <w:rFonts w:ascii="Times New Roman" w:hAnsi="Times New Roman"/>
          <w:caps w:val="false"/>
          <w:smallCaps w:val="false"/>
          <w:sz w:val="20"/>
        </w:rPr>
        <w:t>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10.</w:t>
      </w:r>
      <w:r>
        <w:rPr>
          <w:rFonts w:ascii="Times New Roman" w:hAnsi="Times New Roman"/>
          <w:caps w:val="false"/>
          <w:smallCaps w:val="false"/>
          <w:sz w:val="20"/>
        </w:rPr>
        <w:t> </w:t>
      </w:r>
      <w:r>
        <w:rPr>
          <w:rFonts w:ascii="Times New Roman" w:hAnsi="Times New Roman"/>
          <w:b/>
          <w:caps w:val="false"/>
          <w:smallCaps w:val="false"/>
          <w:sz w:val="20"/>
        </w:rPr>
        <w:t>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assets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3463" w:type="dxa"/>
        <w:jc w:val="left"/>
        <w:tblInd w:w="0" w:type="dxa"/>
        <w:tblLayout w:type="fixed"/>
        <w:tblCellMar>
          <w:top w:w="0" w:type="dxa"/>
          <w:left w:w="0" w:type="dxa"/>
          <w:bottom w:w="0" w:type="dxa"/>
          <w:right w:w="0" w:type="dxa"/>
        </w:tblCellMar>
      </w:tblPr>
      <w:tblGrid>
        <w:gridCol w:w="1280"/>
        <w:gridCol w:w="60"/>
        <w:gridCol w:w="254"/>
        <w:gridCol w:w="470"/>
        <w:gridCol w:w="60"/>
        <w:gridCol w:w="60"/>
        <w:gridCol w:w="429"/>
        <w:gridCol w:w="790"/>
        <w:gridCol w:w="60"/>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9"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Utility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r>
      <w:tr>
        <w:trPr/>
        <w:tc>
          <w:tcPr>
            <w:tcW w:w="1280" w:type="dxa"/>
            <w:tcBorders/>
            <w:shd w:fill="FFFFFF" w:val="clear"/>
            <w:vAlign w:val="center"/>
          </w:tcPr>
          <w:p>
            <w:pPr>
              <w:pStyle w:val="TableContents"/>
              <w:bidi w:val="0"/>
              <w:spacing w:before="0" w:after="0"/>
              <w:ind w:left="16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Accrued liabilities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5398" w:type="dxa"/>
        <w:jc w:val="left"/>
        <w:tblInd w:w="0" w:type="dxa"/>
        <w:tblLayout w:type="fixed"/>
        <w:tblCellMar>
          <w:top w:w="0" w:type="dxa"/>
          <w:left w:w="0" w:type="dxa"/>
          <w:bottom w:w="0" w:type="dxa"/>
          <w:right w:w="0" w:type="dxa"/>
        </w:tblCellMar>
      </w:tblPr>
      <w:tblGrid>
        <w:gridCol w:w="3215"/>
        <w:gridCol w:w="60"/>
        <w:gridCol w:w="197"/>
        <w:gridCol w:w="527"/>
        <w:gridCol w:w="60"/>
        <w:gridCol w:w="60"/>
        <w:gridCol w:w="330"/>
        <w:gridCol w:w="889"/>
        <w:gridCol w:w="60"/>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vacation, and bonuses</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audit fees</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6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12.</w:t>
      </w:r>
      <w:r>
        <w:rPr>
          <w:rFonts w:ascii="Times New Roman" w:hAnsi="Times New Roman"/>
          <w:caps w:val="false"/>
          <w:smallCaps w:val="false"/>
          <w:sz w:val="20"/>
        </w:rPr>
        <w:t> </w:t>
      </w:r>
      <w:r>
        <w:rPr>
          <w:rFonts w:ascii="Times New Roman" w:hAnsi="Times New Roman"/>
          <w:b/>
          <w:caps w:val="false"/>
          <w:smallCaps w:val="false"/>
          <w:sz w:val="20"/>
        </w:rPr>
        <w:t>OTHER CURRENT LIABILITIES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Other long-term liabilities was $902 as of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and consisted of $859 of long-term, aged payables to vendors, individuals, and other </w:t>
      </w:r>
      <w:r>
        <w:rPr>
          <w:rStyle w:val="Emphasis"/>
          <w:rFonts w:ascii="Times New Roman" w:hAnsi="Times New Roman"/>
          <w:caps w:val="false"/>
          <w:smallCaps w:val="false"/>
          <w:sz w:val="20"/>
        </w:rPr>
        <w:t>third</w:t>
      </w:r>
      <w:r>
        <w:rPr>
          <w:rFonts w:ascii="Times New Roman" w:hAnsi="Times New Roman"/>
          <w:caps w:val="false"/>
          <w:smallCaps w:val="false"/>
          <w:sz w:val="20"/>
        </w:rPr>
        <w:t> parties that have been outstanding for more than 5 years. Also included in the balance is $43 in tenant deposits under the Facility Lease.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13.</w:t>
      </w:r>
      <w:r>
        <w:rPr>
          <w:rFonts w:ascii="Times New Roman" w:hAnsi="Times New Roman"/>
          <w:caps w:val="false"/>
          <w:smallCaps w:val="false"/>
          <w:sz w:val="20"/>
        </w:rPr>
        <w:t> </w:t>
      </w:r>
      <w:r>
        <w:rPr>
          <w:rFonts w:ascii="Times New Roman" w:hAnsi="Times New Roman"/>
          <w:b/>
          <w:caps w:val="false"/>
          <w:smallCaps w:val="false"/>
          <w:sz w:val="20"/>
        </w:rPr>
        <w:t>STOCK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28, 2012, </w:t>
      </w:r>
      <w:r>
        <w:rPr>
          <w:rFonts w:ascii="Times New Roman" w:hAnsi="Times New Roman"/>
          <w:caps w:val="false"/>
          <w:smallCaps w:val="false"/>
          <w:sz w:val="20"/>
        </w:rPr>
        <w:t xml:space="preserve">the Company adopted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Equity Incentive Plan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with the approval of the shareholders, which provided for the grant of stock options to officers, employees, consultants and directors of the Company and its subsidiaries. Under this plan, the Company had outstanding grants of options to purchase 2,432,500 and 3,073,000 shares of the Company’s common stock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respectively. The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Plan expired in </w:t>
      </w:r>
      <w:r>
        <w:rPr>
          <w:rStyle w:val="Emphasis"/>
          <w:rFonts w:ascii="Times New Roman" w:hAnsi="Times New Roman"/>
          <w:caps w:val="false"/>
          <w:smallCaps w:val="false"/>
          <w:sz w:val="20"/>
        </w:rPr>
        <w:t>June 2022.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27, 2015, </w:t>
      </w:r>
      <w:r>
        <w:rPr>
          <w:rFonts w:ascii="Times New Roman" w:hAnsi="Times New Roman"/>
          <w:caps w:val="false"/>
          <w:smallCaps w:val="false"/>
          <w:sz w:val="20"/>
        </w:rPr>
        <w:t xml:space="preserve">the Company adopted its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Equity Incentive Plan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which provided for the grant of stock options to officers, employees, consultants and directors of the Company and its subsidiaries. A total of 40,000,000 shares of the Company’s common stock were available for issuance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All options granted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had exercise prices that were equal to the fair market value on the dates of grant. Under this plan, the Company had outstanding grants of options to purchase 37,361,667 and 23,511,667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respectively.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expired in </w:t>
      </w:r>
      <w:r>
        <w:rPr>
          <w:rStyle w:val="Emphasis"/>
          <w:rFonts w:ascii="Times New Roman" w:hAnsi="Times New Roman"/>
          <w:caps w:val="false"/>
          <w:smallCaps w:val="false"/>
          <w:sz w:val="20"/>
        </w:rPr>
        <w:t>January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FASB ASC </w:t>
      </w:r>
      <w:r>
        <w:rPr>
          <w:rStyle w:val="Emphasis"/>
          <w:rFonts w:ascii="Times New Roman" w:hAnsi="Times New Roman"/>
          <w:caps w:val="false"/>
          <w:smallCaps w:val="false"/>
          <w:sz w:val="20"/>
        </w:rPr>
        <w:t>718,</w:t>
      </w:r>
      <w:r>
        <w:rPr>
          <w:rFonts w:ascii="Times New Roman" w:hAnsi="Times New Roman"/>
          <w:caps w:val="false"/>
          <w:smallCaps w:val="false"/>
          <w:sz w:val="20"/>
        </w:rPr>
        <w:t> Compensation – Stock Compensation, requires all share-based payments to employees, including grants of employee stock options, to be recognized in the financial statements based on their fair values. Under ASC </w:t>
      </w:r>
      <w:r>
        <w:rPr>
          <w:rStyle w:val="Emphasis"/>
          <w:rFonts w:ascii="Times New Roman" w:hAnsi="Times New Roman"/>
          <w:caps w:val="false"/>
          <w:smallCaps w:val="false"/>
          <w:sz w:val="20"/>
        </w:rPr>
        <w:t>718,</w:t>
      </w:r>
      <w:r>
        <w:rPr>
          <w:rFonts w:ascii="Times New Roman" w:hAnsi="Times New Roman"/>
          <w:caps w:val="false"/>
          <w:smallCaps w:val="false"/>
          <w:sz w:val="20"/>
        </w:rPr>
        <w:t> the Company is required to measure the cost of employee services received in exchange for stock options and similar awards based on the grant-date fair value of the award and recognize this cost in the income statement over the period during which an employee is required to provide service in exchange for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Stock based compensation expense attributable to these plans was $33 and $87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respectively, and $38 and $63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Expected volatilities are based on historical volatility expected over the expected life of the options. The Company uses historical data to estimate option exercise and employee termination within the valuation model. The expected term of options granted represents the period of time that options granted are expected to be outstanding. Expected forfeiture rates are determined based on historical forfeitures over a </w:t>
      </w:r>
      <w:r>
        <w:rPr>
          <w:rStyle w:val="Emphasis"/>
          <w:rFonts w:ascii="Times New Roman" w:hAnsi="Times New Roman"/>
          <w:caps w:val="false"/>
          <w:smallCaps w:val="false"/>
          <w:sz w:val="20"/>
        </w:rPr>
        <w:t>five</w:t>
      </w:r>
      <w:r>
        <w:rPr>
          <w:rFonts w:ascii="Times New Roman" w:hAnsi="Times New Roman"/>
          <w:caps w:val="false"/>
          <w:smallCaps w:val="false"/>
          <w:sz w:val="20"/>
        </w:rPr>
        <w:t>-year period. The risk-free rate used for the period within the expected life of the options is based on U.S. Treasury rates in effect at the time of grant.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14.</w:t>
      </w:r>
      <w:r>
        <w:rPr>
          <w:rFonts w:ascii="Times New Roman" w:hAnsi="Times New Roman"/>
          <w:caps w:val="false"/>
          <w:smallCaps w:val="false"/>
          <w:sz w:val="20"/>
        </w:rPr>
        <w:t> </w:t>
      </w:r>
      <w:r>
        <w:rPr>
          <w:rFonts w:ascii="Times New Roman" w:hAnsi="Times New Roman"/>
          <w:b/>
          <w:caps w:val="false"/>
          <w:smallCaps w:val="false"/>
          <w:sz w:val="20"/>
        </w:rPr>
        <w:t>FACILITY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Amounts collected under the Facility Lease are comprised of base rents and reimbursements for direct facility expenses (property taxes and insurance), common area maintenance, and utilities. Amounts recorded to lease income are comprised of base rents and direct facility expenses, recorded on a straight-line basis over the lease term. Reimbursements for common area maintenance and utility expense are recorded as reductions to like expenses within sales, general, and administrative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future minimum rents due to the Company under the Facility Lease are as follows:</w:t>
      </w:r>
    </w:p>
    <w:p>
      <w:pPr>
        <w:pStyle w:val="TextBody"/>
        <w:bidi w:val="0"/>
        <w:spacing w:before="0" w:after="0"/>
        <w:ind w:left="0" w:right="0" w:hanging="0"/>
        <w:jc w:val="left"/>
        <w:rPr>
          <w:caps w:val="false"/>
          <w:smallCaps w:val="false"/>
        </w:rPr>
      </w:pPr>
      <w:r>
        <w:rPr>
          <w:caps w:val="false"/>
          <w:smallCaps w:val="false"/>
        </w:rPr>
        <w:t> </w:t>
      </w:r>
    </w:p>
    <w:tbl>
      <w:tblPr>
        <w:tblW w:w="3414" w:type="dxa"/>
        <w:jc w:val="left"/>
        <w:tblInd w:w="0" w:type="dxa"/>
        <w:tblLayout w:type="fixed"/>
        <w:tblCellMar>
          <w:top w:w="28" w:type="dxa"/>
          <w:left w:w="28" w:type="dxa"/>
          <w:bottom w:w="28" w:type="dxa"/>
          <w:right w:w="0" w:type="dxa"/>
        </w:tblCellMar>
      </w:tblPr>
      <w:tblGrid>
        <w:gridCol w:w="2360"/>
        <w:gridCol w:w="60"/>
        <w:gridCol w:w="191"/>
        <w:gridCol w:w="743"/>
        <w:gridCol w:w="60"/>
      </w:tblGrid>
      <w:tr>
        <w:trPr/>
        <w:tc>
          <w:tcPr>
            <w:tcW w:w="236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ind w:left="0" w:right="0" w:hanging="0"/>
              <w:jc w:val="left"/>
              <w:rPr/>
            </w:pPr>
            <w:r>
              <w:rPr/>
              <w:t> </w:t>
            </w:r>
          </w:p>
        </w:tc>
        <w:tc>
          <w:tcPr>
            <w:tcW w:w="934" w:type="dxa"/>
            <w:gridSpan w:val="2"/>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Base Rents</w:t>
            </w:r>
          </w:p>
        </w:tc>
        <w:tc>
          <w:tcPr>
            <w:tcW w:w="6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jc w:val="left"/>
              <w:rPr/>
            </w:pPr>
            <w:r>
              <w:rPr/>
              <w:t> </w:t>
            </w:r>
          </w:p>
        </w:tc>
      </w:tr>
      <w:tr>
        <w:trPr/>
        <w:tc>
          <w:tcPr>
            <w:tcW w:w="23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91"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743"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36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 (remaining six months)</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19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36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9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743"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36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9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743"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36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9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743"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36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91"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left"/>
              <w:rPr/>
            </w:pPr>
            <w:r>
              <w:rPr/>
              <w:t> </w:t>
            </w:r>
          </w:p>
        </w:tc>
        <w:tc>
          <w:tcPr>
            <w:tcW w:w="743" w:type="dxa"/>
            <w:tcBorders>
              <w:left w:val="single" w:sz="2" w:space="0" w:color="000000"/>
              <w:bottom w:val="single" w:sz="2"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w:t>
            </w:r>
          </w:p>
        </w:tc>
        <w:tc>
          <w:tcPr>
            <w:tcW w:w="6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3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bottom w:w="45" w:type="dxa"/>
            </w:tcMar>
            <w:vAlign w:val="center"/>
          </w:tcPr>
          <w:p>
            <w:pPr>
              <w:pStyle w:val="TableContents"/>
              <w:bidi w:val="0"/>
              <w:spacing w:before="0" w:after="283"/>
              <w:ind w:left="0" w:right="0" w:hanging="0"/>
              <w:jc w:val="left"/>
              <w:rPr/>
            </w:pPr>
            <w:r>
              <w:rPr/>
              <w:t> </w:t>
            </w:r>
          </w:p>
        </w:tc>
        <w:tc>
          <w:tcPr>
            <w:tcW w:w="191" w:type="dxa"/>
            <w:tcBorders>
              <w:left w:val="single" w:sz="2" w:space="0" w:color="000000"/>
              <w:bottom w:val="double" w:sz="6" w:space="0" w:color="000000"/>
            </w:tcBorders>
            <w:tcMar>
              <w:top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left w:val="single" w:sz="2" w:space="0" w:color="000000"/>
              <w:bottom w:val="double" w:sz="6" w:space="0" w:color="000000"/>
            </w:tcBorders>
            <w:tcMar>
              <w:top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3,791</w:t>
            </w:r>
          </w:p>
        </w:tc>
        <w:tc>
          <w:tcPr>
            <w:tcW w:w="60" w:type="dxa"/>
            <w:tcBorders>
              <w:left w:val="single" w:sz="2" w:space="0" w:color="000000"/>
              <w:right w:val="single" w:sz="2" w:space="0" w:color="000000"/>
            </w:tcBorders>
            <w:tcMar>
              <w:top w:w="0" w:type="dxa"/>
              <w:bottom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15.</w:t>
      </w:r>
      <w:r>
        <w:rPr>
          <w:rFonts w:ascii="Times New Roman" w:hAnsi="Times New Roman"/>
          <w:caps w:val="false"/>
          <w:smallCaps w:val="false"/>
          <w:sz w:val="20"/>
        </w:rPr>
        <w:t> </w:t>
      </w:r>
      <w:r>
        <w:rPr>
          <w:rFonts w:ascii="Times New Roman" w:hAnsi="Times New Roman"/>
          <w:b/>
          <w:caps w:val="false"/>
          <w:smallCaps w:val="false"/>
          <w:sz w:val="20"/>
        </w:rPr>
        <w:t>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earnings per share (“EPS”) is computed by dividing earnings (loss) attributable to common shareholders by the weighted average number of common shares outstanding for the periods. Diluted EPS reflects the potential dilution of securities that could share in the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Options to purchase 39,794,167 shares of common stock at prices ranging from $0.05 to $0.38 per share were outstanding at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but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computation of diluted EPS for the same period as the inclusion would have been antidilutive, given the Company’s net loss. Options to purchase 26,584,667 shares of common stock at prices ranging from $0.05 to $0.38 per share were outstanding at </w:t>
      </w:r>
      <w:r>
        <w:rPr>
          <w:rStyle w:val="Emphasis"/>
          <w:rFonts w:ascii="Times New Roman" w:hAnsi="Times New Roman"/>
          <w:caps w:val="false"/>
          <w:smallCaps w:val="false"/>
          <w:sz w:val="20"/>
        </w:rPr>
        <w:t xml:space="preserve">June 30, 2024, </w:t>
      </w:r>
      <w:r>
        <w:rPr>
          <w:rFonts w:ascii="Times New Roman" w:hAnsi="Times New Roman"/>
          <w:caps w:val="false"/>
          <w:smallCaps w:val="false"/>
          <w:sz w:val="20"/>
        </w:rPr>
        <w:t xml:space="preserve">but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computation of diluted EPS for the same period as the inclusion would have been antidilutive, given the Company’s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Warrants to purchase 10,066,809 shares of common stock, priced at $0.07 per share, outstanding at each of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June 30, 2024 </w:t>
      </w:r>
      <w:r>
        <w:rPr>
          <w:rFonts w:ascii="Times New Roman" w:hAnsi="Times New Roman"/>
          <w:caps w:val="false"/>
          <w:smallCaps w:val="false"/>
          <w:sz w:val="20"/>
        </w:rPr>
        <w:t>were </w:t>
      </w:r>
      <w:r>
        <w:rPr>
          <w:rStyle w:val="Emphasis"/>
          <w:rFonts w:ascii="Times New Roman" w:hAnsi="Times New Roman"/>
          <w:caps w:val="false"/>
          <w:smallCaps w:val="false"/>
          <w:sz w:val="20"/>
        </w:rPr>
        <w:t>not</w:t>
      </w:r>
      <w:r>
        <w:rPr>
          <w:rFonts w:ascii="Times New Roman" w:hAnsi="Times New Roman"/>
          <w:caps w:val="false"/>
          <w:smallCaps w:val="false"/>
          <w:sz w:val="20"/>
        </w:rPr>
        <w:t> included in the computation of diluted EPS for the same period as the inclusion would have been antidilutive, given the Company’s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16.</w:t>
      </w:r>
      <w:r>
        <w:rPr>
          <w:rFonts w:ascii="Times New Roman" w:hAnsi="Times New Roman"/>
          <w:caps w:val="false"/>
          <w:smallCaps w:val="false"/>
          <w:sz w:val="20"/>
        </w:rPr>
        <w:t> </w:t>
      </w:r>
      <w:r>
        <w:rPr>
          <w:rFonts w:ascii="Times New Roman" w:hAnsi="Times New Roman"/>
          <w:b/>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10, 2016, </w:t>
      </w:r>
      <w:r>
        <w:rPr>
          <w:rFonts w:ascii="Times New Roman" w:hAnsi="Times New Roman"/>
          <w:caps w:val="false"/>
          <w:smallCaps w:val="false"/>
          <w:sz w:val="20"/>
        </w:rPr>
        <w:t>the Company entered into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with Liquidmetal Technology Limited, providing for the purchase of 405,000,000 shares of the Company’s common stock for an aggregate purchase price of $63,400. Liquidmetal Technology Limited was a newly formed company owned by our Chairman, Professor Li. In connection with the </w:t>
      </w:r>
      <w:r>
        <w:rPr>
          <w:rStyle w:val="Emphasis"/>
          <w:rFonts w:ascii="Times New Roman" w:hAnsi="Times New Roman"/>
          <w:caps w:val="false"/>
          <w:smallCaps w:val="false"/>
          <w:sz w:val="20"/>
        </w:rPr>
        <w:t>2016</w:t>
      </w:r>
      <w:r>
        <w:rPr>
          <w:rFonts w:ascii="Times New Roman" w:hAnsi="Times New Roman"/>
          <w:caps w:val="false"/>
          <w:smallCaps w:val="false"/>
          <w:sz w:val="20"/>
        </w:rPr>
        <w:t> Purchase Agreement and also on  </w:t>
      </w:r>
      <w:r>
        <w:rPr>
          <w:rStyle w:val="Emphasis"/>
          <w:rFonts w:ascii="Times New Roman" w:hAnsi="Times New Roman"/>
          <w:caps w:val="false"/>
          <w:smallCaps w:val="false"/>
          <w:sz w:val="20"/>
        </w:rPr>
        <w:t xml:space="preserve"> March 10, 2016, </w:t>
      </w:r>
      <w:r>
        <w:rPr>
          <w:rFonts w:ascii="Times New Roman" w:hAnsi="Times New Roman"/>
          <w:caps w:val="false"/>
          <w:smallCaps w:val="false"/>
          <w:sz w:val="20"/>
        </w:rPr>
        <w:t>the Company and Eontec entered into a license agreement, pursuant to which the Company and Eontec entered into a cross-license of their respective technologies. Eontec is an affiliate of Yihao which is currently the Company’s primary contract manufacturer. As of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 xml:space="preserve">Professor Li is a greater-than 5% beneficial owner of the Company and serves as the Company’s Chairman. Equipment and services procured from Yihao were $121 and $238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respectively, and $143 and $258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2024, </w:t>
      </w:r>
      <w:r>
        <w:rPr>
          <w:rFonts w:ascii="Times New Roman" w:hAnsi="Times New Roman"/>
          <w:caps w:val="false"/>
          <w:smallCaps w:val="false"/>
          <w:sz w:val="20"/>
        </w:rPr>
        <w:t>respectively. As of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the Company has outstanding payables to Yihao of $40 and $70,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May 10, 2022, </w:t>
      </w:r>
      <w:r>
        <w:rPr>
          <w:rFonts w:ascii="Times New Roman" w:hAnsi="Times New Roman"/>
          <w:caps w:val="false"/>
          <w:smallCaps w:val="false"/>
          <w:sz w:val="20"/>
        </w:rPr>
        <w:t>Mr. Abdi Mahamedi resigned as a director of the Company. Upon Mr. Mahamedi’s departure, the Company entered into a Consulting Agreement with Mr. Mahamedi to present business opportunities for the licensing and sublicensing of the Company’s technology. The Consulting Agreement has a term of </w:t>
      </w:r>
      <w:r>
        <w:rPr>
          <w:rStyle w:val="Emphasis"/>
          <w:rFonts w:ascii="Times New Roman" w:hAnsi="Times New Roman"/>
          <w:caps w:val="false"/>
          <w:smallCaps w:val="false"/>
          <w:sz w:val="20"/>
        </w:rPr>
        <w:t>5</w:t>
      </w:r>
      <w:r>
        <w:rPr>
          <w:rFonts w:ascii="Times New Roman" w:hAnsi="Times New Roman"/>
          <w:caps w:val="false"/>
          <w:smallCaps w:val="false"/>
          <w:sz w:val="20"/>
        </w:rPr>
        <w:t> years and granted to Mr. Mahamedi an option to purchase up to 2.0 million shares of Company common stock at an exercise price of the closing market price of the Company’s common stock on  </w:t>
      </w:r>
      <w:r>
        <w:rPr>
          <w:rStyle w:val="Emphasis"/>
          <w:rFonts w:ascii="Times New Roman" w:hAnsi="Times New Roman"/>
          <w:caps w:val="false"/>
          <w:smallCaps w:val="false"/>
          <w:sz w:val="20"/>
        </w:rPr>
        <w:t xml:space="preserve"> May 10, 2022 </w:t>
      </w:r>
      <w:r>
        <w:rPr>
          <w:rFonts w:ascii="Times New Roman" w:hAnsi="Times New Roman"/>
          <w:caps w:val="false"/>
          <w:smallCaps w:val="false"/>
          <w:sz w:val="20"/>
        </w:rPr>
        <w:t>that will vest 33% on the </w:t>
      </w:r>
      <w:r>
        <w:rPr>
          <w:rStyle w:val="Emphasis"/>
          <w:rFonts w:ascii="Times New Roman" w:hAnsi="Times New Roman"/>
          <w:caps w:val="false"/>
          <w:smallCaps w:val="false"/>
          <w:sz w:val="20"/>
        </w:rPr>
        <w:t>first</w:t>
      </w:r>
      <w:r>
        <w:rPr>
          <w:rFonts w:ascii="Times New Roman" w:hAnsi="Times New Roman"/>
          <w:caps w:val="false"/>
          <w:smallCaps w:val="false"/>
          <w:sz w:val="20"/>
        </w:rPr>
        <w:t> anniversary of the grant date and the remainder vesting monthly over the ensuing </w:t>
      </w:r>
      <w:r>
        <w:rPr>
          <w:rStyle w:val="Emphasis"/>
          <w:rFonts w:ascii="Times New Roman" w:hAnsi="Times New Roman"/>
          <w:caps w:val="false"/>
          <w:smallCaps w:val="false"/>
          <w:sz w:val="20"/>
        </w:rPr>
        <w:t>two</w:t>
      </w:r>
      <w:r>
        <w:rPr>
          <w:rFonts w:ascii="Times New Roman" w:hAnsi="Times New Roman"/>
          <w:caps w:val="false"/>
          <w:smallCaps w:val="false"/>
          <w:sz w:val="20"/>
        </w:rPr>
        <w:t> years, provided that Mr. Mahamedi continues to be engaged as a consultant on each such vesting date. The options have a term of </w:t>
      </w:r>
      <w:r>
        <w:rPr>
          <w:rStyle w:val="Emphasis"/>
          <w:rFonts w:ascii="Times New Roman" w:hAnsi="Times New Roman"/>
          <w:caps w:val="false"/>
          <w:smallCaps w:val="false"/>
          <w:sz w:val="20"/>
        </w:rPr>
        <w:t>5</w:t>
      </w:r>
      <w:r>
        <w:rPr>
          <w:rFonts w:ascii="Times New Roman" w:hAnsi="Times New Roman"/>
          <w:caps w:val="false"/>
          <w:smallCaps w:val="false"/>
          <w:sz w:val="20"/>
        </w:rPr>
        <w:t>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17.</w:t>
      </w:r>
      <w:r>
        <w:rPr>
          <w:rFonts w:ascii="Times New Roman" w:hAnsi="Times New Roman"/>
          <w:caps w:val="false"/>
          <w:smallCaps w:val="false"/>
          <w:sz w:val="20"/>
        </w:rPr>
        <w:t> </w:t>
      </w:r>
      <w:r>
        <w:rPr>
          <w:rFonts w:ascii="Times New Roman" w:hAnsi="Times New Roman"/>
          <w:b/>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follows the guidance in FASB ASC Topic </w:t>
      </w:r>
      <w:r>
        <w:rPr>
          <w:rStyle w:val="Emphasis"/>
          <w:rFonts w:ascii="Times New Roman" w:hAnsi="Times New Roman"/>
          <w:caps w:val="false"/>
          <w:smallCaps w:val="false"/>
          <w:sz w:val="20"/>
        </w:rPr>
        <w:t>855,</w:t>
      </w:r>
      <w:r>
        <w:rPr>
          <w:rFonts w:ascii="Times New Roman" w:hAnsi="Times New Roman"/>
          <w:caps w:val="false"/>
          <w:smallCaps w:val="false"/>
          <w:sz w:val="20"/>
        </w:rPr>
        <w:t> Subsequent Events (“ASC </w:t>
      </w:r>
      <w:r>
        <w:rPr>
          <w:rStyle w:val="Emphasis"/>
          <w:rFonts w:ascii="Times New Roman" w:hAnsi="Times New Roman"/>
          <w:caps w:val="false"/>
          <w:smallCaps w:val="false"/>
          <w:sz w:val="20"/>
        </w:rPr>
        <w:t>855”</w:t>
      </w:r>
      <w:r>
        <w:rPr>
          <w:rFonts w:ascii="Times New Roman" w:hAnsi="Times New Roman"/>
          <w:caps w:val="false"/>
          <w:smallCaps w:val="false"/>
          <w:sz w:val="20"/>
        </w:rPr>
        <w:t>), which provides guidance to establish general standards of accounting for and disclosures of events that occur after the balance sheet date but before the consolidated financial statements are issued or are available to be issued. ASC </w:t>
      </w:r>
      <w:r>
        <w:rPr>
          <w:rStyle w:val="Emphasis"/>
          <w:rFonts w:ascii="Times New Roman" w:hAnsi="Times New Roman"/>
          <w:caps w:val="false"/>
          <w:smallCaps w:val="false"/>
          <w:sz w:val="20"/>
        </w:rPr>
        <w:t>855</w:t>
      </w:r>
      <w:r>
        <w:rPr>
          <w:rFonts w:ascii="Times New Roman" w:hAnsi="Times New Roman"/>
          <w:caps w:val="false"/>
          <w:smallCaps w:val="false"/>
          <w:sz w:val="20"/>
        </w:rPr>
        <w:t> sets forth (i) the period after the balance sheet date during which management of a reporting entity evaluates events or transactions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occur for potential recognition or disclosure in the consolidated financial statements, (ii) the circumstances under which an entity should recognize events or transactions occurring after the balance sheet date in its consolidated financial statements, and (iii) the disclosures that an entity should make about events or transactions that occurred after the balance sheet date. Accordingly,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have any subsequent events that require disclosure other than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Liquidmetal Asia Holdings Limited (“Liquidmetal Asia”), a Hong Kong based, wholly owned subsidiary of the Company, entered into a shareholders agreement with Mr. Chong Liu, an individual investor to form a new joint venture company named Hangzhou Feifeng Liquidmetal Co. Ltd., a limited liability company formed under the Peoples Republic of China (the “Joint Venture Company”). The Joint Venture Company was formed for the principal purpose of developing a manufacturing facility in Hangzhou, China for the manufacture of amorphous metal products. The Joint Venture Company will be owned 70% by Liquidmetal Asia and 30% by Mr. Liu and will be capitalized with $6.0 million USD of initial capital, of which $4.2 million has been contributed by Liquidmetal Asia, and $1.8 million will be contributed by Mr. Liu on or before </w:t>
      </w:r>
      <w:r>
        <w:rPr>
          <w:rStyle w:val="Emphasis"/>
          <w:rFonts w:ascii="Times New Roman" w:hAnsi="Times New Roman"/>
          <w:caps w:val="false"/>
          <w:smallCaps w:val="false"/>
          <w:sz w:val="20"/>
        </w:rPr>
        <w:t>May 25,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9" w:name="item_2"/>
      <w:bookmarkEnd w:id="9"/>
      <w:r>
        <w:rPr>
          <w:rFonts w:ascii="Times New Roman" w:hAnsi="Times New Roman"/>
          <w:b/>
          <w:caps w:val="false"/>
          <w:smallCaps w:val="false"/>
          <w:sz w:val="20"/>
        </w:rPr>
        <w:t>Item 2</w:t>
      </w:r>
      <w:r>
        <w:rPr>
          <w:rFonts w:ascii="Times New Roman" w:hAnsi="Times New Roman"/>
          <w:caps w:val="false"/>
          <w:smallCaps w:val="false"/>
          <w:sz w:val="20"/>
        </w:rPr>
        <w:t> –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management’s discussion and analysis should be read in conjunction with the consolidated financial statements and notes included elsewhere in this Quarterly Report on Form 10-Q. All amounts described in this section are in thousands, except percentages, periods of time, and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management’s discussion and analysis, as well as other sections of this Quarterly Report on Form 10-Q, may contain “forward-looking statements” that involve risks and uncertainties, including statements regarding our plans, future events, objectives, expectations, estimates, forecasts, assumptions, or projections. Any statement that is not a statement of historical fact is a forward-looking statement, and in some cases, words such as “believe,” “estimate,” “project,” “expect,” “intend,” “may,” “anticipate,” “plan,” “seek,” and similar words or expressions identify forward-looking statements. These statements involve risks and uncertainties that could cause actual outcomes and results to differ materially from the anticipated outcomes or results, and undue reliance should not be placed on these statements. These risks and uncertainties include, but are not limited to, the matters discussed in Part II herein, under the heading “Item 1A. Risk Factors” in our Annual Report on Form 10-K for the fiscal year ended December 31, 2024 and other risks and uncertainties discussed in other filings made with the Securities and Exchange Commission (including risks described in subsequent reports on Form 10-Q and Form 8-K and other filings). We disclaim any intention or obligation, other than as required by applicable law,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materials technology company that works with manufacturing and commercial partners to develop and commercialize products made from our proprietary amorphous alloys. Our Liquidmetal® family of alloys consists of a variety of proprietary bulk alloys and composites that utilize the advantages offered by amorphous alloy technology. We design, develop, and sell custom products and parts from bulk amorphous alloys to customers in various industries. We also partner with third-party manufacturers and licensees to develop and commercialize Liquidmetal alloy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Amorphous alloys are, in general, unique materials that are distinguished by their ability to retain a random atomic structure when they solidify, in contrast to the crystalline atomic structure that forms in other metals and alloys when they solidify. Liquidmetal alloys are proprietary amorphous alloys that possess a combination of performance, processing, and potential cost advantages that we believe will make them preferable to other materials in a variety of applications. The amorphous atomic structure of bulk alloys enables them to overcome certain performance limitations caused by inherent weaknesses in crystalline atomic structures, thus facilitating performance and processing characteristics superior in many ways to those of their crystalline counterparts. We believe the alloys and the molding technologies we employ can result in components for many applications that exhibit exceptional dimensional control and repeatability that rivals precision machining, excellent corrosion resistance, brilliant surface finish, high strength, high hardness, high elastic limit, alloys that are non-magnetic, and the ability to form complex shapes common to the injection molding of plastics. All of these characteristics are achievable from the molding process, so design engineers often do not have to select specific alloys to achieve one or more of the characteristics as is the case with crystalline materials. We believe these advantages could result in Liquidmetal alloys supplanting high-performance alloys, such as titanium and stainless steel, and other incumbent materials in a wide variety of applications. Moreover, we believe these advantages could enable the introduction of entirely new products and applications that are not possible or commercially viable with other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revenues are derived from i) selling our bulk amorphous alloy custom products and parts for applications which include, but are not limited to, non-consumer electronic devices, medical products, automotive components, and sports and leisure goods; ii) selling tooling and prototype parts such as demonstration parts and test samples for customers with products in development; and iii) product licensing and royalty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cost of sales consists primarily of the costs of manufacturing, which include raw alloy and direct labor costs. Selling, general, and administrative expenses currently consist primarily of salaries and related benefits, travel, consulting and professional fees, depreciation and amortization, insurance, office and administrative expenses, and other expenses related to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expenses represent salaries, related benefits expenses, consulting and contract services, expenses incurred for the design and testing of new processing methods, expenses for the development of sample and prototype products, and other expenses related to the research and development of Liquidmetal bulk alloys. Costs associated with research and development activities are expensed as incurred. We plan to enhance our competitive position by improving our existing technologies and developing advances in amorphous alloy technologies. We believe that our research and development efforts will focus on the discovery of new alloy compositions, the development of improved processing technology, and the identification of new applications for our alloys.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SIGNIFICANT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Yihao Manufacturing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12, 2022, Liquidmetal Technologies entered into a manufacturing agreement (“Manufacturing Agreement”) with Dongguan Yihao Metal Materials Technology Co. Ltd. (“Yihao”) to become the primary contract manufacturer of our products. Under the Manufacturing Agreement, which has a term of five years, Yihao has agreed to serve as a non-exclusive contract manufacturer for amorphous alloy parts offered and sold by the us at prices determined on a “cost-plus” basis. Yihao is an affiliate of Dongguan Eontec Co. Ltd. and Professor Lugee Li, our Chairman and largest beneficial owner of our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Corporate Facility Purchase and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16, 2017, we purchased a 41,000 square foot facility (the “Facility”) located in Lake Forest, CA, where operations commenced during July 2017. The purchase price for the Facility was $7,818.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23, 2020, 20321 Valencia, LLC, a Delaware limited liability company and our wholly owned subsidiary, entered into a lease agreement pursuant to which we leased to MatterHackers, Inc., a Delaware corporation (“Tenant”), an approximately 32,534 square foot portion of the Facility. The lease term was for 5 years and 2 months and expired on April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26, 2025, we entered into a new lease agreement (the “Facility Lease”) for a 5 year term commencing on May 1, 2025 and expanded the leased square footage to 40,090 square feet. The base rent payable under the Facility Lease is $51,716 per month initially and is subject to periodic increases up to a maximum of approximately $58,000 per month. Tenant will pay approximately 98% of building operating expenses. The Facility Lease grants us or Tenant the right to terminate the Facility Lease after two and a half years into the lease term and has other customary provisions, including provisions relating to default and usage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2016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10, 2016, we entered into a Securities Purchase Agreement (the “2016 Purchase Agreement”) with Liquidmetal Technology Limited, a Hong Kong company (the “Investor”), which is controlled by our Chairman, Professor Lugee Li (“Professor Li”). The 2016 Purchase Agreement provided for the purchase by the Investor of a total of 405,000,000 shares of our common stock for an aggregate purchase price of $63,400. The transaction occurred in multiple closings, with the Investor having purchased 105,000,000 shares at a purchase price of $8,400 (or $0.08 per share) at the initial closing on March 10, 2016, and the remaining 200,000,000 shares at $0.15 per share and 100,000,000 shares at $0.25 per share for an aggregate purchase price of $55,000 on October 26, 2016. On October 10, 2024, the Investor sold 179,787,888 to various buyers leaving 225,212,112 shares of our common stock owned by the Investor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shares issuable under the 2016 Purchase Agreement, we issued to the Investor a warrant to acquire 10,066,809 shares of common stock at an exercise price of $0.07 per share. The warrant will expire on the tenth anniversary of its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Eontec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10, 2016, in connection with the 2016 Purchase Agreement, we entered into a Parallel License Agreement (the “License Agreement”) with DongGuan Eontec Co., Ltd., a Hong Kong corporation (“Eontec”) pursuant to which we agreed to perpetually cross-license our respective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License Agreement provides for the cross-license of certain patents, technical information, and trademarks between us and Eontec. In particular, we granted to Eontec a paid-up, royalty-free, perpetual license to our patents and related technical information to make, have made, use, offer to sell, sell, export, and import products in certain geographic areas outside of North America and Europe. In turn, Eontec granted to us a paid-up, royalty-free, perpetual license to Eontec’s patents and related technical information to make, have made, use, offer to sell, sell, export, and import products in certain geographic areas outside of specified countries in Asia. The license granted by us to Eontec is exclusive (including to the exclusion of us) in the countries of Brunei, Cambodia, China (P.R.C and R.O.C.), East Timor, Indonesia, Japan, Laos, Malaysia, Myanmar, Philippines, Singapore, South Korea, Thailand, and Vietnam. The license granted by Eontec to us is exclusive (including to the exclusion of Eontec) in North America and Europe. The cross-licenses are non-exclusive in geographic areas outside of the foregoing exclusive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Eutectix Business Development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31, 2020, we entered into a Business Development Agreement (the “Agreement”) with Eutectix LLC, a Delaware limited liability company (“Eutectix”), which provided for collaboration, joint development efforts, and the manufacturing of products based on the Company’s proprietary amorphous metal alloys. Under the Agreement, we licensed to Eutectix specified equipment owned by us and also licensed to Eutectix various patents and technical information related to our proprietary technology. The Agreement expired in January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Apple License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5, 2010, we entered into a license transaction with Apple pursuant to which (i) we contributed substantially all of our intellectual property assets to a newly organized special-purpose, wholly-owned subsidiary, Crucible Intellectual Property, LLC (“CIP”), (ii) CIP granted to Apple a perpetual, worldwide, fully-paid, exclusive license to commercialize such intellectual property in the field of consumer electronic products, as defined in the license agreement, in exchange for a license fee, and (iii) CIP granted back to us a perpetual, worldwide, fully-paid, exclusive license to commercialize such intellectual property in all other fields of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Liquidmetal Golf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13, 2022, our Liquidmetal Golf subsidiary (“Liquidmetal Golf” or “LMG”) entered into a sublicense agreement (“LMG Sublicense Agreement”) with Amorphous Technologies Japan, Inc. (“ATJ”), a newly formed Japanese entity that was established by Twins Corporation, a sporting goods company operating in Japan. Under the agreement, LMG granted ATJ a nonexclusive worldwide sublicense to our amorphous alloy technology and related trademarks to manufacture and sell golf clubs and golf related products. The original term of three years was extended to have automatic, annual renewals and provided for the payment of a running royalty to LMG of 3% of the net sales price of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Swatch Group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March 2009, we entered into a license agreement with Swatch Group, Ltd. (“Swatch”) under which Swatch was granted a non-exclusive license to our technology to produce and market watches and certain other luxury products. In March 2011, this license agreement was amended to grant Swatch exclusive rights as to watches, but non-exclusive as to Apple. We will receive royalty payments over the life of the contract on all Liquidmetal products produced and sold by Swatch. The license agreement with Swatch will expire on the expiration date of the last licensed patent.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consolidated financial statements in conformity with accounting principles generally accepted in the United States requires us to make estimates and assumptions that affect reported amounts of assets and liabilities and disclosure of contingent assets and liabilities at the date of the financial statements and the reported amounts of revenues and expenses during the reporting period. These estimates and assumptions are based on historical experience and various other factors that are believed to be reasonable under the circumstances. Actual results could differ materially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following accounting policies are the most critical to our consolidated financial statements since these policies require significant judgment or involve complex estimates that are important to the portrayal of our financial condition and operating results:</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28" w:type="dxa"/>
          <w:left w:w="28" w:type="dxa"/>
          <w:bottom w:w="28" w:type="dxa"/>
          <w:right w:w="0" w:type="dxa"/>
        </w:tblCellMar>
      </w:tblPr>
      <w:tblGrid>
        <w:gridCol w:w="60"/>
        <w:gridCol w:w="110"/>
        <w:gridCol w:w="5030"/>
      </w:tblGrid>
      <w:tr>
        <w:trPr/>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11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recognition</w:t>
            </w:r>
          </w:p>
        </w:tc>
      </w:tr>
      <w:tr>
        <w:trPr/>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Impairment of long-lived assets and definite-lived intangibles</w:t>
            </w:r>
          </w:p>
        </w:tc>
      </w:tr>
      <w:tr>
        <w:trPr/>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tax assets</w:t>
            </w:r>
          </w:p>
        </w:tc>
      </w:tr>
      <w:tr>
        <w:trPr/>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503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 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Annual Report on Form 10-K for the year ended December 31, 2024 (the “2024 Annual Report”) contains further discussions on our 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Comparison of the three months ended June 30, 2025 and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20"/>
        <w:gridCol w:w="60"/>
        <w:gridCol w:w="167"/>
        <w:gridCol w:w="528"/>
        <w:gridCol w:w="80"/>
        <w:gridCol w:w="60"/>
        <w:gridCol w:w="73"/>
        <w:gridCol w:w="667"/>
        <w:gridCol w:w="185"/>
        <w:gridCol w:w="60"/>
        <w:gridCol w:w="167"/>
        <w:gridCol w:w="528"/>
        <w:gridCol w:w="80"/>
        <w:gridCol w:w="60"/>
        <w:gridCol w:w="73"/>
        <w:gridCol w:w="667"/>
        <w:gridCol w:w="185"/>
        <w:gridCol w:w="60"/>
        <w:gridCol w:w="167"/>
        <w:gridCol w:w="528"/>
        <w:gridCol w:w="80"/>
        <w:gridCol w:w="60"/>
        <w:gridCol w:w="65"/>
        <w:gridCol w:w="600"/>
        <w:gridCol w:w="185"/>
      </w:tblGrid>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40"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Changes</w:t>
            </w:r>
          </w:p>
        </w:tc>
        <w:tc>
          <w:tcPr>
            <w:tcW w:w="185"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ind w:left="0" w:right="0" w:hanging="0"/>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360" w:right="0" w:hanging="0"/>
              <w:jc w:val="left"/>
              <w:rPr/>
            </w:pPr>
            <w:r>
              <w:rPr/>
              <w:t> </w:t>
            </w:r>
          </w:p>
        </w:tc>
      </w:tr>
      <w:tr>
        <w:trPr/>
        <w:tc>
          <w:tcPr>
            <w:tcW w:w="482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Products</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185" w:type="dxa"/>
            <w:tcBorders/>
            <w:shd w:fill="FFFFFF" w:val="clear"/>
            <w:vAlign w:val="center"/>
          </w:tcPr>
          <w:p>
            <w:pPr>
              <w:pStyle w:val="TableContents"/>
              <w:bidi w:val="0"/>
              <w:spacing w:before="0" w:after="283"/>
              <w:ind w:left="360" w:right="0" w:hanging="0"/>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Licensing and royalties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180" w:right="0" w:hanging="0"/>
              <w:jc w:val="left"/>
              <w:rPr/>
            </w:pPr>
            <w:r>
              <w:rPr/>
              <w:t> </w:t>
            </w:r>
          </w:p>
        </w:tc>
      </w:tr>
      <w:tr>
        <w:trPr/>
        <w:tc>
          <w:tcPr>
            <w:tcW w:w="4820"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360" w:right="0" w:hanging="0"/>
              <w:jc w:val="left"/>
              <w:rPr/>
            </w:pPr>
            <w:r>
              <w:rPr/>
              <w:t> </w:t>
            </w:r>
          </w:p>
        </w:tc>
      </w:tr>
      <w:tr>
        <w:trPr/>
        <w:tc>
          <w:tcPr>
            <w:tcW w:w="482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marketing, general and administrative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185" w:type="dxa"/>
            <w:tcBorders/>
            <w:shd w:fill="FFFFFF" w:val="clear"/>
            <w:vAlign w:val="center"/>
          </w:tcPr>
          <w:p>
            <w:pPr>
              <w:pStyle w:val="TableContents"/>
              <w:bidi w:val="0"/>
              <w:spacing w:before="0" w:after="283"/>
              <w:ind w:left="360" w:right="0" w:hanging="0"/>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48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48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360" w:right="0" w:hanging="0"/>
              <w:jc w:val="left"/>
              <w:rPr/>
            </w:pPr>
            <w:r>
              <w:rPr/>
              <w:t> </w:t>
            </w:r>
          </w:p>
        </w:tc>
      </w:tr>
      <w:tr>
        <w:trPr/>
        <w:tc>
          <w:tcPr>
            <w:tcW w:w="482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income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w:t>
            </w:r>
          </w:p>
        </w:tc>
        <w:tc>
          <w:tcPr>
            <w:tcW w:w="185" w:type="dxa"/>
            <w:tcBorders/>
            <w:shd w:fill="CCEEFF" w:val="clear"/>
            <w:vAlign w:val="center"/>
          </w:tcPr>
          <w:p>
            <w:pPr>
              <w:pStyle w:val="TableContents"/>
              <w:bidi w:val="0"/>
              <w:spacing w:before="0" w:after="283"/>
              <w:ind w:left="360" w:right="0" w:hanging="0"/>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ind w:left="360" w:right="0" w:hanging="0"/>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w:t>
            </w:r>
          </w:p>
        </w:tc>
        <w:tc>
          <w:tcPr>
            <w:tcW w:w="185" w:type="dxa"/>
            <w:tcBorders/>
            <w:shd w:fill="CCEEFF" w:val="clear"/>
            <w:vAlign w:val="center"/>
          </w:tcPr>
          <w:p>
            <w:pPr>
              <w:pStyle w:val="TableContents"/>
              <w:bidi w:val="0"/>
              <w:spacing w:before="0" w:after="283"/>
              <w:ind w:left="360" w:right="0" w:hanging="0"/>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Liquidmetal Technologies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Revenue and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Revenue</w:t>
      </w:r>
      <w:r>
        <w:rPr>
          <w:rFonts w:ascii="Times New Roman" w:hAnsi="Times New Roman"/>
          <w:i/>
          <w:caps w:val="false"/>
          <w:smallCaps w:val="false"/>
          <w:sz w:val="20"/>
        </w:rPr>
        <w:t>.</w:t>
      </w:r>
      <w:r>
        <w:rPr>
          <w:rFonts w:ascii="Times New Roman" w:hAnsi="Times New Roman"/>
          <w:caps w:val="false"/>
          <w:smallCaps w:val="false"/>
          <w:sz w:val="20"/>
        </w:rPr>
        <w:t xml:space="preserve"> Total revenue increased by $47 to $289 for the three months ended June 30, 2025 from $242 for the three months ended June 30, 2024. The increase was attributable to increase in product shipments primarily related to recurring customer orders and medical device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Cost of Sales</w:t>
      </w:r>
      <w:r>
        <w:rPr>
          <w:rFonts w:ascii="Times New Roman" w:hAnsi="Times New Roman"/>
          <w:i/>
          <w:caps w:val="false"/>
          <w:smallCaps w:val="false"/>
          <w:sz w:val="20"/>
        </w:rPr>
        <w:t>.</w:t>
      </w:r>
      <w:r>
        <w:rPr>
          <w:rFonts w:ascii="Times New Roman" w:hAnsi="Times New Roman"/>
          <w:caps w:val="false"/>
          <w:smallCaps w:val="false"/>
          <w:sz w:val="20"/>
        </w:rPr>
        <w:t xml:space="preserve"> Cost of sales was $212, or 73.4% of total revenue, for the three months ended June 30, 2025, as compared to $187, or 77.3% of total revenue, for the three months ended June 30, 2024. The increase in our cost of sales was primarily driven by lower product revenues during Q2 2024 compared to Q2 2025. Once we are able to sustain and increase shipments of routine, commercial products and parts through our contract manufacturers, we expect our cost of sales percentages to decrease, stabilize, and be more 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Gross Profit</w:t>
      </w:r>
      <w:r>
        <w:rPr>
          <w:rFonts w:ascii="Times New Roman" w:hAnsi="Times New Roman"/>
          <w:i/>
          <w:caps w:val="false"/>
          <w:smallCaps w:val="false"/>
          <w:sz w:val="20"/>
        </w:rPr>
        <w:t>.</w:t>
      </w:r>
      <w:r>
        <w:rPr>
          <w:rFonts w:ascii="Times New Roman" w:hAnsi="Times New Roman"/>
          <w:caps w:val="false"/>
          <w:smallCaps w:val="false"/>
          <w:sz w:val="20"/>
        </w:rPr>
        <w:t> Our gross profit increased by $22 from $55 for the three months ended June 30, 2024 to $77 for the three months ended June 30, 2025. Our gross margin percentage increased slightly from Q2 2024 to Q2 2025. Our gross profit percentages have fluctuated and may continue to fluctuate based on production volumes and quoted production prices per unit and may not be representative of our future business. If we are able to sustain and increase shipments of routine, commercial products and parts through future orders to third party contract manufacturers, we expect our gross profit percentages to stabilize, increase, and be more 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Selling,</w:t>
      </w:r>
      <w:r>
        <w:rPr>
          <w:rFonts w:ascii="Times New Roman" w:hAnsi="Times New Roman"/>
          <w:caps w:val="false"/>
          <w:smallCaps w:val="false"/>
          <w:sz w:val="20"/>
        </w:rPr>
        <w:t> </w:t>
      </w:r>
      <w:r>
        <w:rPr>
          <w:rFonts w:ascii="Times New Roman" w:hAnsi="Times New Roman"/>
          <w:b/>
          <w:i/>
          <w:caps w:val="false"/>
          <w:smallCaps w:val="false"/>
          <w:sz w:val="20"/>
        </w:rPr>
        <w:t>marketing, general, and administrative expenses</w:t>
      </w:r>
      <w:r>
        <w:rPr>
          <w:rFonts w:ascii="Times New Roman" w:hAnsi="Times New Roman"/>
          <w:caps w:val="false"/>
          <w:smallCaps w:val="false"/>
          <w:sz w:val="20"/>
        </w:rPr>
        <w:t>. Selling, marketing, general, and administrative expenses increased by $70 to $927, or 320.8% of revenue, for the three months ended June 30, 2025 from $857, or 354.1% of revenue, for the three months ended June 30, 2024. The increase in expenses was primarily attributable to increase in payroll expenses, a one-time severance payment to an administrative staff, and stock compensation in Q2 2025 compared to Q2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Research and development expenses</w:t>
      </w:r>
      <w:r>
        <w:rPr>
          <w:rFonts w:ascii="Times New Roman" w:hAnsi="Times New Roman"/>
          <w:i/>
          <w:caps w:val="false"/>
          <w:smallCaps w:val="false"/>
          <w:sz w:val="20"/>
        </w:rPr>
        <w:t>.</w:t>
      </w:r>
      <w:r>
        <w:rPr>
          <w:rFonts w:ascii="Times New Roman" w:hAnsi="Times New Roman"/>
          <w:caps w:val="false"/>
          <w:smallCaps w:val="false"/>
          <w:sz w:val="20"/>
        </w:rPr>
        <w:t xml:space="preserve"> Research and development expenses remained unchanged at $3, or 1.0% of revenue, for the three months ended June 30, 2025, and $5, or 2.1% of revenue, for the three months ended June 30, 2024. This was primarily due to continuing efforts to perform research and development on new Liquidmetal alloys and related processing capabilities, albeit on a reduced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invest in our technology infrastructure to expedite the adoption of our technology, but we have experienced long sales lead times for customer adoption of our technology. Until that time when we can either (i) increase our revenues with shipments of routine, commercial products and parts through third party contract manufacturers or (ii) obtain significant licensing revenues, we expect to continue to have operating losses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Non-operational income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Investment income</w:t>
      </w:r>
      <w:r>
        <w:rPr>
          <w:rFonts w:ascii="Times New Roman" w:hAnsi="Times New Roman"/>
          <w:i/>
          <w:caps w:val="false"/>
          <w:smallCaps w:val="false"/>
          <w:sz w:val="20"/>
        </w:rPr>
        <w:t>.</w:t>
      </w:r>
      <w:r>
        <w:rPr>
          <w:rFonts w:ascii="Times New Roman" w:hAnsi="Times New Roman"/>
          <w:caps w:val="false"/>
          <w:smallCaps w:val="false"/>
          <w:sz w:val="20"/>
        </w:rPr>
        <w:t> Investment income relates to realized gains earned from our investments in debt securities for the respective periods. Investment income was $5 and $34 for the three months ended June 30, 2025 and 2024, respectively. The decrease during the three months ended June 30, 2025 is primarily due to higher overall yields on debt securities as a result of an increase in overall interest rate increases by the government and holding onto debt securities until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Interest income</w:t>
      </w:r>
      <w:r>
        <w:rPr>
          <w:rFonts w:ascii="Times New Roman" w:hAnsi="Times New Roman"/>
          <w:i/>
          <w:caps w:val="false"/>
          <w:smallCaps w:val="false"/>
          <w:sz w:val="20"/>
        </w:rPr>
        <w:t>.</w:t>
      </w:r>
      <w:r>
        <w:rPr>
          <w:rFonts w:ascii="Times New Roman" w:hAnsi="Times New Roman"/>
          <w:caps w:val="false"/>
          <w:smallCaps w:val="false"/>
          <w:sz w:val="20"/>
        </w:rPr>
        <w:t> Interest income relates to interest earned from our cash deposits and investments in debt securities for the respective periods. Interest income was $160 and $89 for three months ended June 30, 2025 and 2024, respectively. The decrease during the three months ended June 30, 2025 is primarily due to withdrawals from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Lease income</w:t>
      </w:r>
      <w:r>
        <w:rPr>
          <w:rFonts w:ascii="Times New Roman" w:hAnsi="Times New Roman"/>
          <w:i/>
          <w:caps w:val="false"/>
          <w:smallCaps w:val="false"/>
          <w:sz w:val="20"/>
        </w:rPr>
        <w:t>.</w:t>
      </w:r>
      <w:r>
        <w:rPr>
          <w:rFonts w:ascii="Times New Roman" w:hAnsi="Times New Roman"/>
          <w:caps w:val="false"/>
          <w:smallCaps w:val="false"/>
          <w:sz w:val="20"/>
        </w:rPr>
        <w:t> Lease income relates to straight-line rental income received under the Facility Lease. Such amounts were $160 and $89 for the three months ended June 30, 2025 and 2024, the increase in lease income was due to our tenant signing a new lease agreement with higher base rents.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Net loss</w:t>
      </w:r>
      <w:r>
        <w:rPr>
          <w:rFonts w:ascii="Times New Roman" w:hAnsi="Times New Roman"/>
          <w:i/>
          <w:caps w:val="false"/>
          <w:smallCaps w:val="false"/>
          <w:sz w:val="20"/>
        </w:rPr>
        <w:t>.</w:t>
      </w:r>
      <w:r>
        <w:rPr>
          <w:rFonts w:ascii="Times New Roman" w:hAnsi="Times New Roman"/>
          <w:caps w:val="false"/>
          <w:smallCaps w:val="false"/>
          <w:sz w:val="20"/>
        </w:rPr>
        <w:t> Our annual net losses of $525 for the three months ended June 30, 2025 and $260 for the three months ended June 30, 2024 are primarily reflective of operating expenses associated with our on-going business as well as non-operational income,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Comparison of the six months ended June 30, 2025 and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17"/>
        <w:gridCol w:w="60"/>
        <w:gridCol w:w="129"/>
        <w:gridCol w:w="566"/>
        <w:gridCol w:w="80"/>
        <w:gridCol w:w="60"/>
        <w:gridCol w:w="102"/>
        <w:gridCol w:w="938"/>
        <w:gridCol w:w="185"/>
        <w:gridCol w:w="60"/>
        <w:gridCol w:w="129"/>
        <w:gridCol w:w="566"/>
        <w:gridCol w:w="80"/>
        <w:gridCol w:w="60"/>
        <w:gridCol w:w="102"/>
        <w:gridCol w:w="938"/>
        <w:gridCol w:w="185"/>
        <w:gridCol w:w="60"/>
        <w:gridCol w:w="167"/>
        <w:gridCol w:w="528"/>
        <w:gridCol w:w="80"/>
        <w:gridCol w:w="60"/>
        <w:gridCol w:w="114"/>
        <w:gridCol w:w="851"/>
        <w:gridCol w:w="188"/>
      </w:tblGrid>
      <w:tr>
        <w:trPr/>
        <w:tc>
          <w:tcPr>
            <w:tcW w:w="39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99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851" w:type="dxa"/>
            <w:tcBorders/>
            <w:vAlign w:val="center"/>
          </w:tcPr>
          <w:p>
            <w:pPr>
              <w:pStyle w:val="TableContents"/>
              <w:bidi w:val="0"/>
              <w:spacing w:before="0" w:after="283"/>
              <w:jc w:val="center"/>
              <w:rPr/>
            </w:pPr>
            <w:r>
              <w:rPr/>
              <w:t> </w:t>
            </w:r>
          </w:p>
        </w:tc>
        <w:tc>
          <w:tcPr>
            <w:tcW w:w="188" w:type="dxa"/>
            <w:tcBorders/>
            <w:vAlign w:val="center"/>
          </w:tcPr>
          <w:p>
            <w:pPr>
              <w:pStyle w:val="TableContents"/>
              <w:bidi w:val="0"/>
              <w:spacing w:before="0" w:after="283"/>
              <w:jc w:val="left"/>
              <w:rPr/>
            </w:pPr>
            <w:r>
              <w:rPr/>
              <w:t> </w:t>
            </w:r>
          </w:p>
        </w:tc>
      </w:tr>
      <w:tr>
        <w:trPr/>
        <w:tc>
          <w:tcPr>
            <w:tcW w:w="39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7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Changes</w:t>
            </w:r>
          </w:p>
        </w:tc>
        <w:tc>
          <w:tcPr>
            <w:tcW w:w="188" w:type="dxa"/>
            <w:tcBorders/>
            <w:vAlign w:val="center"/>
          </w:tcPr>
          <w:p>
            <w:pPr>
              <w:pStyle w:val="TableContents"/>
              <w:bidi w:val="0"/>
              <w:spacing w:before="0" w:after="283"/>
              <w:jc w:val="left"/>
              <w:rPr/>
            </w:pPr>
            <w:r>
              <w:rPr/>
              <w:t> </w:t>
            </w:r>
          </w:p>
        </w:tc>
      </w:tr>
      <w:tr>
        <w:trPr/>
        <w:tc>
          <w:tcPr>
            <w:tcW w:w="39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Change</w:t>
            </w:r>
          </w:p>
        </w:tc>
        <w:tc>
          <w:tcPr>
            <w:tcW w:w="188" w:type="dxa"/>
            <w:tcBorders/>
            <w:vAlign w:val="center"/>
          </w:tcPr>
          <w:p>
            <w:pPr>
              <w:pStyle w:val="TableContents"/>
              <w:bidi w:val="0"/>
              <w:spacing w:before="0" w:after="283"/>
              <w:ind w:left="0" w:right="0" w:hanging="0"/>
              <w:jc w:val="left"/>
              <w:rPr/>
            </w:pPr>
            <w:r>
              <w:rPr/>
              <w:t> </w:t>
            </w:r>
          </w:p>
        </w:tc>
      </w:tr>
      <w:tr>
        <w:trPr/>
        <w:tc>
          <w:tcPr>
            <w:tcW w:w="391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r>
      <w:tr>
        <w:trPr/>
        <w:tc>
          <w:tcPr>
            <w:tcW w:w="3917"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Products</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7"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Licensing and royalties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r>
      <w:tr>
        <w:trPr/>
        <w:tc>
          <w:tcPr>
            <w:tcW w:w="391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r>
      <w:tr>
        <w:trPr/>
        <w:tc>
          <w:tcPr>
            <w:tcW w:w="391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360" w:right="0" w:hanging="0"/>
              <w:jc w:val="left"/>
              <w:rPr/>
            </w:pPr>
            <w:r>
              <w:rPr/>
              <w:t> </w:t>
            </w:r>
          </w:p>
        </w:tc>
      </w:tr>
      <w:tr>
        <w:trPr/>
        <w:tc>
          <w:tcPr>
            <w:tcW w:w="391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marketing, general and administrative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7"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r>
      <w:tr>
        <w:trPr/>
        <w:tc>
          <w:tcPr>
            <w:tcW w:w="391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r>
      <w:tr>
        <w:trPr/>
        <w:tc>
          <w:tcPr>
            <w:tcW w:w="391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r>
      <w:tr>
        <w:trPr/>
        <w:tc>
          <w:tcPr>
            <w:tcW w:w="3917"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income</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188" w:type="dxa"/>
            <w:tcBorders/>
            <w:shd w:fill="CCEEFF" w:val="clear"/>
            <w:vAlign w:val="center"/>
          </w:tcPr>
          <w:p>
            <w:pPr>
              <w:pStyle w:val="TableContents"/>
              <w:bidi w:val="0"/>
              <w:spacing w:before="0" w:after="283"/>
              <w:ind w:left="360" w:right="0" w:hanging="0"/>
              <w:jc w:val="left"/>
              <w:rPr>
                <w:rFonts w:ascii="Times New Roman;Times;serif" w:hAnsi="Times New Roman;Times;serif"/>
                <w:sz w:val="20"/>
              </w:rPr>
            </w:pPr>
            <w:r>
              <w:rPr>
                <w:rFonts w:ascii="Times New Roman;Times;serif" w:hAnsi="Times New Roman;Times;serif"/>
                <w:sz w:val="20"/>
              </w:rPr>
              <w:t>%</w:t>
            </w:r>
          </w:p>
        </w:tc>
      </w:tr>
      <w:tr>
        <w:trPr/>
        <w:tc>
          <w:tcPr>
            <w:tcW w:w="391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9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7"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17"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r>
      <w:tr>
        <w:trPr/>
        <w:tc>
          <w:tcPr>
            <w:tcW w:w="39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r>
      <w:tr>
        <w:trPr/>
        <w:tc>
          <w:tcPr>
            <w:tcW w:w="39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r>
      <w:tr>
        <w:trPr/>
        <w:tc>
          <w:tcPr>
            <w:tcW w:w="39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r>
      <w:tr>
        <w:trPr/>
        <w:tc>
          <w:tcPr>
            <w:tcW w:w="39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r>
      <w:tr>
        <w:trPr/>
        <w:tc>
          <w:tcPr>
            <w:tcW w:w="39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Liquidmetal Technologies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Revenue and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Revenue</w:t>
      </w:r>
      <w:r>
        <w:rPr>
          <w:rFonts w:ascii="Times New Roman" w:hAnsi="Times New Roman"/>
          <w:i/>
          <w:caps w:val="false"/>
          <w:smallCaps w:val="false"/>
          <w:sz w:val="20"/>
        </w:rPr>
        <w:t>.</w:t>
      </w:r>
      <w:r>
        <w:rPr>
          <w:rFonts w:ascii="Times New Roman" w:hAnsi="Times New Roman"/>
          <w:caps w:val="false"/>
          <w:smallCaps w:val="false"/>
          <w:sz w:val="20"/>
        </w:rPr>
        <w:t xml:space="preserve"> Total revenue increased by $156 to $571 for the six months ended June 30, 2025 from $415 for the six months ended June 30, 2024. The increase was attributable to increase in product shipments primarily related to recurring customer orders and medical device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Cost of Sales</w:t>
      </w:r>
      <w:r>
        <w:rPr>
          <w:rFonts w:ascii="Times New Roman" w:hAnsi="Times New Roman"/>
          <w:i/>
          <w:caps w:val="false"/>
          <w:smallCaps w:val="false"/>
          <w:sz w:val="20"/>
        </w:rPr>
        <w:t>.</w:t>
      </w:r>
      <w:r>
        <w:rPr>
          <w:rFonts w:ascii="Times New Roman" w:hAnsi="Times New Roman"/>
          <w:caps w:val="false"/>
          <w:smallCaps w:val="false"/>
          <w:sz w:val="20"/>
        </w:rPr>
        <w:t xml:space="preserve"> Cost of sales was $416, or 72.9% of total revenue, for the six months ended June 30, 2025, as compared to $321, or 77.3% of total revenue, for the six months ended June 30, 2024. The increase in our cost of sales was primarily driven by lower product revenues during Q2 2024 compared to Q2 2025. Once we are able to sustain and increase shipments of routine, commercial products and parts through our contract manufacturers, we expect our cost of sales percentages to decrease, stabilize, and be more 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Gross Profit</w:t>
      </w:r>
      <w:r>
        <w:rPr>
          <w:rFonts w:ascii="Times New Roman" w:hAnsi="Times New Roman"/>
          <w:i/>
          <w:caps w:val="false"/>
          <w:smallCaps w:val="false"/>
          <w:sz w:val="20"/>
        </w:rPr>
        <w:t>.</w:t>
      </w:r>
      <w:r>
        <w:rPr>
          <w:rFonts w:ascii="Times New Roman" w:hAnsi="Times New Roman"/>
          <w:caps w:val="false"/>
          <w:smallCaps w:val="false"/>
          <w:sz w:val="20"/>
        </w:rPr>
        <w:t> Our gross profit increased by $61 from $94 for the six months ended June 30, 2024 to $155 for the six months ended June 30, 2025. Our gross margin percentage increased slightly from Q2 2024 to Q2 2025. Our gross profit percentages have fluctuated and may continue to fluctuate based on production volumes and quoted production prices per unit and may not be representative of our future business. If we are able to sustain and increase shipments of routine, commercial products and parts through future orders to third party contract manufacturers, we expect our gross profit percentages to stabilize, increase, and be more predictable.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Selling,</w:t>
      </w:r>
      <w:r>
        <w:rPr>
          <w:rFonts w:ascii="Times New Roman" w:hAnsi="Times New Roman"/>
          <w:caps w:val="false"/>
          <w:smallCaps w:val="false"/>
          <w:sz w:val="20"/>
        </w:rPr>
        <w:t> </w:t>
      </w:r>
      <w:r>
        <w:rPr>
          <w:rFonts w:ascii="Times New Roman" w:hAnsi="Times New Roman"/>
          <w:b/>
          <w:i/>
          <w:caps w:val="false"/>
          <w:smallCaps w:val="false"/>
          <w:sz w:val="20"/>
        </w:rPr>
        <w:t>marketing, general, and administrative expenses</w:t>
      </w:r>
      <w:r>
        <w:rPr>
          <w:rFonts w:ascii="Times New Roman" w:hAnsi="Times New Roman"/>
          <w:caps w:val="false"/>
          <w:smallCaps w:val="false"/>
          <w:sz w:val="20"/>
        </w:rPr>
        <w:t>. Selling, marketing, general, and administrative expenses increased by $282 to $1,902, or 333.1% of revenue, for the six months ended June 30, 2025 from $1,620, or 390.4% of revenue, for the six months ended June 30, 2024. The increase in expenses was primarily attributable to increase in payroll expenses, a one-time severance payment to an administrative staff, and stock compensation in Q2 2025 compared to Q2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Research and development expenses</w:t>
      </w:r>
      <w:r>
        <w:rPr>
          <w:rFonts w:ascii="Times New Roman" w:hAnsi="Times New Roman"/>
          <w:i/>
          <w:caps w:val="false"/>
          <w:smallCaps w:val="false"/>
          <w:sz w:val="20"/>
        </w:rPr>
        <w:t>.</w:t>
      </w:r>
      <w:r>
        <w:rPr>
          <w:rFonts w:ascii="Times New Roman" w:hAnsi="Times New Roman"/>
          <w:caps w:val="false"/>
          <w:smallCaps w:val="false"/>
          <w:sz w:val="20"/>
        </w:rPr>
        <w:t xml:space="preserve"> Research and development expenses remained unchanged at $7, or 1.2% of revenue, for the six months ended June 30, 2025, and $9, or 2.2% of revenue, for the six months ended June 30, 2024. This was primarily due to continuing efforts to perform research and development on new Liquidmetal alloys and related processing capabilities, albeit on a reduced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invest in our technology infrastructure to expedite the adoption of our technology, but we have experienced long sales lead times for customer adoption of our technology. Until that time when we can either (i) increase our revenues with shipments of routine, commercial products and parts through third party contract manufacturers or (ii) obtain significant licensing revenues, we expect to continue to have operating losses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Non-operational income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Investment income</w:t>
      </w:r>
      <w:r>
        <w:rPr>
          <w:rFonts w:ascii="Times New Roman" w:hAnsi="Times New Roman"/>
          <w:i/>
          <w:caps w:val="false"/>
          <w:smallCaps w:val="false"/>
          <w:sz w:val="20"/>
        </w:rPr>
        <w:t>.</w:t>
      </w:r>
      <w:r>
        <w:rPr>
          <w:rFonts w:ascii="Times New Roman" w:hAnsi="Times New Roman"/>
          <w:caps w:val="false"/>
          <w:smallCaps w:val="false"/>
          <w:sz w:val="20"/>
        </w:rPr>
        <w:t> Investment income relates to realized gains earned from our investments in debt securities for the respective periods. Investment income was $68 and $86 for the six months ended June 30, 2025 and 2024, respectively. The decrease during the six months ended June 30, 2025 is primarily due to higher overall yields on debt securities as a result of an increase in overall interest rate increases by the government and holding onto debt securities until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Interest income</w:t>
      </w:r>
      <w:r>
        <w:rPr>
          <w:rFonts w:ascii="Times New Roman" w:hAnsi="Times New Roman"/>
          <w:i/>
          <w:caps w:val="false"/>
          <w:smallCaps w:val="false"/>
          <w:sz w:val="20"/>
        </w:rPr>
        <w:t>.</w:t>
      </w:r>
      <w:r>
        <w:rPr>
          <w:rFonts w:ascii="Times New Roman" w:hAnsi="Times New Roman"/>
          <w:caps w:val="false"/>
          <w:smallCaps w:val="false"/>
          <w:sz w:val="20"/>
        </w:rPr>
        <w:t> Interest income relates to interest earned from our cash deposits and investments in debt securities for the respective periods. Interest income was $342 and $430 for six months ended June 30, 2025 and 2024, respectively. The decrease during the six months ended June 30, 2025 is primarily due to withdrawals from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Lease income</w:t>
      </w:r>
      <w:r>
        <w:rPr>
          <w:rFonts w:ascii="Times New Roman" w:hAnsi="Times New Roman"/>
          <w:i/>
          <w:caps w:val="false"/>
          <w:smallCaps w:val="false"/>
          <w:sz w:val="20"/>
        </w:rPr>
        <w:t>.</w:t>
      </w:r>
      <w:r>
        <w:rPr>
          <w:rFonts w:ascii="Times New Roman" w:hAnsi="Times New Roman"/>
          <w:caps w:val="false"/>
          <w:smallCaps w:val="false"/>
          <w:sz w:val="20"/>
        </w:rPr>
        <w:t> Lease income relates to straight-line rental income received under the Facility Lease. Such amounts were $249 and $179 for the six months ended June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Net loss</w:t>
      </w:r>
      <w:r>
        <w:rPr>
          <w:rFonts w:ascii="Times New Roman" w:hAnsi="Times New Roman"/>
          <w:i/>
          <w:caps w:val="false"/>
          <w:smallCaps w:val="false"/>
          <w:sz w:val="20"/>
        </w:rPr>
        <w:t>.</w:t>
      </w:r>
      <w:r>
        <w:rPr>
          <w:rFonts w:ascii="Times New Roman" w:hAnsi="Times New Roman"/>
          <w:caps w:val="false"/>
          <w:smallCaps w:val="false"/>
          <w:sz w:val="20"/>
        </w:rPr>
        <w:t> Our annual net losses of $1,093 for the six months ended June 30, 2025 and $574 for the six months ended June 30, 2024 are primarily reflective of operating expenses associated with our on-going business as well as non-operational income,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Cash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operating activities totaled $579 and $143 for the six months ended June 30, 2025 and 2024, respectively. The cash was primarily used to fund operating expenses related to our business and product development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Cash provided by (used in)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provided by investing activities totaled $186 and cash used in investing activities totaled $1,327 for the six months ended June 30, 2025 and 2024, respectively. Investing inflows primarily consist of proceeds from the sale of debt securities. Investing outflows primarily consist of purchases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Financing arrangements and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 relatively limited history of selling bulk amorphous alloy products and components on a mass-production scale. Furthermore, the ability of future contract manufacturers to produce our products in desired quantities and at commercially reasonable prices is uncertain and is dependent on a variety of factors that are outside of our control, including the nature and design of the component, the customer’s specifications, and required delivery timelines. These factors have previously required that we engage in equity sales under various stock purchase agreements to support its operations and strategic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However, as of June 30, 2025, we had $5,618 in cash, as well as $16,212 in investments in debt securities. We view this total of $21,830 as readily available sources of liquidity in the event needed to advance our existing strategy, and/or pursue an alternative strategy. As such, we anticipate that our current capital resources, when considering expected losses from operations, will be sufficient to fund our operations for the foreseeable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0" w:name="item_3"/>
      <w:bookmarkEnd w:id="10"/>
      <w:r>
        <w:rPr>
          <w:rFonts w:ascii="Times New Roman" w:hAnsi="Times New Roman"/>
          <w:b/>
          <w:caps w:val="false"/>
          <w:smallCaps w:val="false"/>
          <w:sz w:val="20"/>
        </w:rPr>
        <w:t>Item 3</w:t>
      </w:r>
      <w:r>
        <w:rPr>
          <w:rFonts w:ascii="Times New Roman" w:hAnsi="Times New Roman"/>
          <w:caps w:val="false"/>
          <w:smallCaps w:val="false"/>
          <w:sz w:val="20"/>
        </w:rPr>
        <w:t> –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1" w:name="item_4"/>
      <w:bookmarkEnd w:id="11"/>
      <w:r>
        <w:rPr>
          <w:rFonts w:ascii="Times New Roman" w:hAnsi="Times New Roman"/>
          <w:b/>
          <w:caps w:val="false"/>
          <w:smallCaps w:val="false"/>
          <w:sz w:val="20"/>
        </w:rPr>
        <w:t>Item 4</w:t>
      </w:r>
      <w:r>
        <w:rPr>
          <w:rFonts w:ascii="Times New Roman" w:hAnsi="Times New Roman"/>
          <w:caps w:val="false"/>
          <w:smallCaps w:val="false"/>
          <w:sz w:val="20"/>
        </w:rPr>
        <w:t> –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Evaluation of Disclosure Controls and Procedures</w:t>
      </w:r>
      <w:r>
        <w:rPr>
          <w:rFonts w:ascii="Times New Roman" w:hAnsi="Times New Roman"/>
          <w:b/>
          <w:caps w:val="false"/>
          <w:smallCaps w:val="false"/>
          <w:sz w:val="20"/>
        </w:rPr>
        <w: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Chief Executive Officer (our Principal Executive Officer and Principal Financial Officer), we carried out an evaluation of the effectiveness of the design and operation of our disclosure controls and procedures (as defined in Rule 13a-15(e) under the Securities Exchange Act of 1934, as amended (the “Exchange Act”)) as of June 30, 2025. Based on their evaluation, our Chief Executive Officer has concluded that our disclosure controls and procedures were effective as of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that term is defined in Rules 13a-15(f) or 15d-15(f) under the Exchange Act) during the quarter ended June 30, 2025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2" w:name="p2"/>
      <w:bookmarkEnd w:id="12"/>
      <w:r>
        <w:rPr>
          <w:rFonts w:ascii="Times New Roman" w:hAnsi="Times New Roman"/>
          <w:b/>
          <w:caps w:val="false"/>
          <w:smallCaps w:val="false"/>
          <w:sz w:val="20"/>
        </w:rPr>
        <w:t>PART II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3" w:name="p2_1"/>
      <w:bookmarkEnd w:id="13"/>
      <w:r>
        <w:rPr>
          <w:rFonts w:ascii="Times New Roman" w:hAnsi="Times New Roman"/>
          <w:b/>
          <w:caps w:val="false"/>
          <w:smallCaps w:val="false"/>
          <w:sz w:val="20"/>
        </w:rPr>
        <w:t>Item 1</w:t>
      </w:r>
      <w:r>
        <w:rPr>
          <w:rFonts w:ascii="Times New Roman" w:hAnsi="Times New Roman"/>
          <w:caps w:val="false"/>
          <w:smallCaps w:val="false"/>
          <w:sz w:val="20"/>
        </w:rPr>
        <w:t> – </w:t>
      </w:r>
      <w:r>
        <w:rPr>
          <w:rFonts w:ascii="Times New Roman" w:hAnsi="Times New Roman"/>
          <w:b/>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4" w:name="p2_1a"/>
      <w:bookmarkEnd w:id="14"/>
      <w:r>
        <w:rPr>
          <w:rFonts w:ascii="Times New Roman" w:hAnsi="Times New Roman"/>
          <w:b/>
          <w:caps w:val="false"/>
          <w:smallCaps w:val="false"/>
          <w:sz w:val="20"/>
        </w:rPr>
        <w:t>Item 1A</w:t>
      </w:r>
      <w:r>
        <w:rPr>
          <w:rFonts w:ascii="Times New Roman" w:hAnsi="Times New Roman"/>
          <w:caps w:val="false"/>
          <w:smallCaps w:val="false"/>
          <w:sz w:val="20"/>
        </w:rPr>
        <w:t> – </w:t>
      </w: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 detailed discussion of the risk factors that should be understood by any investor contemplating an investment in our stock, please refer to Part I, Item 1A “Risk Factors” in the 2024 Annual Report. There have been no material changes from the risk factors previously disclosed in Part I, Item 1A “Risk Factors” in the 2024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5" w:name="p2_2"/>
      <w:bookmarkEnd w:id="15"/>
      <w:r>
        <w:rPr>
          <w:rFonts w:ascii="Times New Roman" w:hAnsi="Times New Roman"/>
          <w:b/>
          <w:caps w:val="false"/>
          <w:smallCaps w:val="false"/>
          <w:sz w:val="20"/>
        </w:rPr>
        <w:t>Item 2</w:t>
      </w:r>
      <w:r>
        <w:rPr>
          <w:rFonts w:ascii="Times New Roman" w:hAnsi="Times New Roman"/>
          <w:caps w:val="false"/>
          <w:smallCaps w:val="false"/>
          <w:sz w:val="20"/>
        </w:rPr>
        <w:t> – </w:t>
      </w:r>
      <w:r>
        <w:rPr>
          <w:rFonts w:ascii="Times New Roman" w:hAnsi="Times New Roman"/>
          <w:b/>
          <w:caps w:val="false"/>
          <w:smallCaps w:val="false"/>
          <w:sz w:val="20"/>
        </w:rPr>
        <w:t>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period covered by this Quarterly Report on Form 10-Q, we did not issue or sell any unregistered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6" w:name="p2_3"/>
      <w:bookmarkEnd w:id="16"/>
      <w:r>
        <w:rPr>
          <w:rFonts w:ascii="Times New Roman" w:hAnsi="Times New Roman"/>
          <w:b/>
          <w:caps w:val="false"/>
          <w:smallCaps w:val="false"/>
          <w:sz w:val="20"/>
        </w:rPr>
        <w:t>Item 3</w:t>
      </w:r>
      <w:r>
        <w:rPr>
          <w:rFonts w:ascii="Times New Roman" w:hAnsi="Times New Roman"/>
          <w:caps w:val="false"/>
          <w:smallCaps w:val="false"/>
          <w:sz w:val="20"/>
        </w:rPr>
        <w:t> – </w:t>
      </w:r>
      <w:r>
        <w:rPr>
          <w:rFonts w:ascii="Times New Roman" w:hAnsi="Times New Roman"/>
          <w:b/>
          <w:caps w:val="false"/>
          <w:smallCaps w:val="false"/>
          <w:sz w:val="20"/>
        </w:rPr>
        <w:t>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7" w:name="p2_4"/>
      <w:bookmarkEnd w:id="17"/>
      <w:r>
        <w:rPr>
          <w:rFonts w:ascii="Times New Roman" w:hAnsi="Times New Roman"/>
          <w:b/>
          <w:caps w:val="false"/>
          <w:smallCaps w:val="false"/>
          <w:sz w:val="20"/>
        </w:rPr>
        <w:t>Item 4</w:t>
      </w:r>
      <w:r>
        <w:rPr>
          <w:rFonts w:ascii="Times New Roman" w:hAnsi="Times New Roman"/>
          <w:caps w:val="false"/>
          <w:smallCaps w:val="false"/>
          <w:sz w:val="20"/>
        </w:rPr>
        <w:t> –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283"/>
        <w:jc w:val="left"/>
        <w:rPr/>
      </w:pPr>
      <w:r>
        <w:rPr/>
        <w:t xml:space="preserve">  </w:t>
      </w:r>
    </w:p>
    <w:p>
      <w:pPr>
        <w:pStyle w:val="TextBody"/>
        <w:bidi w:val="0"/>
        <w:spacing w:before="0" w:after="0"/>
        <w:ind w:left="0" w:right="0" w:hanging="0"/>
        <w:jc w:val="both"/>
        <w:rPr/>
      </w:pPr>
      <w:bookmarkStart w:id="18" w:name="p2_5"/>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caps w:val="false"/>
          <w:smallCaps w:val="false"/>
          <w:sz w:val="20"/>
        </w:rPr>
        <w:t> –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9" w:name="p2_6"/>
      <w:bookmarkEnd w:id="19"/>
      <w:r>
        <w:rPr>
          <w:rFonts w:ascii="Times New Roman" w:hAnsi="Times New Roman"/>
          <w:b/>
          <w:caps w:val="false"/>
          <w:smallCaps w:val="false"/>
          <w:sz w:val="20"/>
        </w:rPr>
        <w:t>Item 6</w:t>
      </w:r>
      <w:r>
        <w:rPr>
          <w:rFonts w:ascii="Times New Roman" w:hAnsi="Times New Roman"/>
          <w:caps w:val="false"/>
          <w:smallCaps w:val="false"/>
          <w:sz w:val="20"/>
        </w:rPr>
        <w:t> –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documents are filed as exhibits to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680"/>
        <w:gridCol w:w="60"/>
        <w:gridCol w:w="9465"/>
      </w:tblGrid>
      <w:tr>
        <w:trPr/>
        <w:tc>
          <w:tcPr>
            <w:tcW w:w="68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Exhibit</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Number</w:t>
            </w:r>
          </w:p>
        </w:tc>
        <w:tc>
          <w:tcPr>
            <w:tcW w:w="60"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946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Description of Document                                                      </w:t>
            </w:r>
          </w:p>
        </w:tc>
      </w:tr>
      <w:tr>
        <w:trPr/>
        <w:tc>
          <w:tcPr>
            <w:tcW w:w="68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46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46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pPr>
            <w:hyperlink w:anchor="ex_849579.htm">
              <w:r>
                <w:rPr>
                  <w:rStyle w:val="InternetLink"/>
                  <w:rFonts w:ascii="Times New Roman;Times;serif" w:hAnsi="Times New Roman;Times;serif"/>
                  <w:caps w:val="false"/>
                  <w:smallCaps w:val="false"/>
                  <w:sz w:val="20"/>
                </w:rPr>
                <w:t>Certification of Principal Executive Officer and Principal Financial Officer, Tony Chung, as required by Section 302 of the Sarbanes-Oxley Act of 2002.</w:t>
              </w:r>
            </w:hyperlink>
          </w:p>
        </w:tc>
      </w:tr>
      <w:tr>
        <w:trPr/>
        <w:tc>
          <w:tcPr>
            <w:tcW w:w="68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46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46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pPr>
            <w:hyperlink w:anchor="ex_849578.htm">
              <w:r>
                <w:rPr>
                  <w:rStyle w:val="InternetLink"/>
                  <w:rFonts w:ascii="Times New Roman;Times;serif" w:hAnsi="Times New Roman;Times;serif"/>
                  <w:caps w:val="false"/>
                  <w:smallCaps w:val="false"/>
                  <w:sz w:val="20"/>
                </w:rPr>
                <w:t>Certification of Chief Executive Officer and Principal Financial Officer, Tony Chung, pursuant to 18 U.S.C. Section 1350, as adopted pursuant to Section 906 of the Sarbanes-Oxley Act of 2002.</w:t>
              </w:r>
            </w:hyperlink>
          </w:p>
        </w:tc>
      </w:tr>
      <w:tr>
        <w:trPr/>
        <w:tc>
          <w:tcPr>
            <w:tcW w:w="68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46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101.1</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46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financial statements from Liquidmetal Technologies, Inc.’s Quarterly Report on Form 10-Q for the quarter ended June 30, 2025 (unaudited), formatted in Inline XBRL: (i) Consolidated Balance Sheets as of June 30, 2025 and December 31, 2024, (ii) Consolidated Statements of Operations for the three and six months ended June 30, 2025 and 2024, (iii) Consolidated Statements of Stockholders’ Equity for the three and six months ended June 30, 2025 and 2024, (iv) Consolidated Statements of Comprehensive Loss for the three and six months ended June 30, 2025 and 2024, (v) Consolidated Statements of Cash Flows for the six months ended June 30, 2025 and 2024, and (vi) Notes to Consolidated Financial Statements.</w:t>
            </w:r>
          </w:p>
        </w:tc>
      </w:tr>
      <w:tr>
        <w:trPr/>
        <w:tc>
          <w:tcPr>
            <w:tcW w:w="68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46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946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0" w:name="sig"/>
      <w:bookmarkEnd w:id="20"/>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28" w:type="dxa"/>
          <w:left w:w="28" w:type="dxa"/>
          <w:bottom w:w="28" w:type="dxa"/>
          <w:right w:w="0" w:type="dxa"/>
        </w:tblCellMar>
      </w:tblPr>
      <w:tblGrid>
        <w:gridCol w:w="1865"/>
        <w:gridCol w:w="3410"/>
        <w:gridCol w:w="75"/>
      </w:tblGrid>
      <w:tr>
        <w:trPr/>
        <w:tc>
          <w:tcPr>
            <w:tcW w:w="1865" w:type="dxa"/>
            <w:tcBorders>
              <w:top w:val="single" w:sz="2" w:space="0" w:color="000000"/>
              <w:left w:val="single" w:sz="2" w:space="0" w:color="000000"/>
              <w:bottom w:val="single" w:sz="2" w:space="0" w:color="000000"/>
            </w:tcBorders>
            <w:vAlign w:val="center"/>
          </w:tcPr>
          <w:p>
            <w:pPr>
              <w:pStyle w:val="TableContents"/>
              <w:bidi w:val="0"/>
              <w:spacing w:before="0" w:after="283"/>
              <w:jc w:val="left"/>
              <w:rPr/>
            </w:pPr>
            <w:r>
              <w:rPr/>
              <w:t> </w:t>
            </w:r>
          </w:p>
        </w:tc>
        <w:tc>
          <w:tcPr>
            <w:tcW w:w="341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LIQUIDMETAL TECHNOLOGIES, INC.</w:t>
            </w:r>
          </w:p>
        </w:tc>
        <w:tc>
          <w:tcPr>
            <w:tcW w:w="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jc w:val="left"/>
              <w:rPr/>
            </w:pPr>
            <w:r>
              <w:rPr/>
              <w:t> </w:t>
            </w:r>
          </w:p>
        </w:tc>
      </w:tr>
      <w:tr>
        <w:trPr/>
        <w:tc>
          <w:tcPr>
            <w:tcW w:w="186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3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(Registrant)</w:t>
            </w:r>
          </w:p>
        </w:tc>
        <w:tc>
          <w:tcPr>
            <w:tcW w:w="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186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341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186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August 13, 2025</w:t>
            </w:r>
          </w:p>
        </w:tc>
        <w:tc>
          <w:tcPr>
            <w:tcW w:w="3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 Tony Chung</w:t>
            </w:r>
          </w:p>
        </w:tc>
        <w:tc>
          <w:tcPr>
            <w:tcW w:w="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186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3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Tony Chung</w:t>
            </w:r>
          </w:p>
        </w:tc>
        <w:tc>
          <w:tcPr>
            <w:tcW w:w="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186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3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w:t>
            </w:r>
          </w:p>
        </w:tc>
        <w:tc>
          <w:tcPr>
            <w:tcW w:w="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186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34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Executive Officer and Principal</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Officer)</w:t>
            </w:r>
          </w:p>
        </w:tc>
        <w:tc>
          <w:tcPr>
            <w:tcW w:w="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25 </w:t>
      </w:r>
    </w:p>
    <w:p>
      <w:pPr>
        <w:pStyle w:val="TextBody"/>
        <w:bidi w:val="0"/>
        <w:spacing w:before="0" w:after="0"/>
        <w:ind w:left="0" w:right="0" w:hanging="0"/>
        <w:jc w:val="left"/>
        <w:rPr>
          <w:caps w:val="false"/>
          <w:smallCaps w:val="false"/>
        </w:rPr>
      </w:pPr>
      <w:bookmarkStart w:id="21" w:name="ex_849579.htm"/>
      <w:bookmarkStart w:id="22" w:name="ksex_849579"/>
      <w:bookmarkEnd w:id="21"/>
      <w:bookmarkEnd w:id="22"/>
      <w:r>
        <w:rPr>
          <w:caps w:val="false"/>
          <w:smallCaps w:val="false"/>
        </w:rPr>
        <w:t> </w:t>
      </w:r>
      <w:r>
        <w:br w:type="page"/>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Tony Chung,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Liquidmetal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865"/>
        <w:gridCol w:w="2915"/>
        <w:gridCol w:w="75"/>
      </w:tblGrid>
      <w:tr>
        <w:trPr/>
        <w:tc>
          <w:tcPr>
            <w:tcW w:w="18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 August 13, 2025</w:t>
            </w:r>
          </w:p>
        </w:tc>
        <w:tc>
          <w:tcPr>
            <w:tcW w:w="29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Tony Chung                                    </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Tony Chung</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Executive Officer and</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pPr>
      <w:r>
        <w:rPr/>
      </w:r>
      <w:bookmarkStart w:id="23" w:name="ex_849578.htm"/>
      <w:bookmarkStart w:id="24" w:name="ksex_849578"/>
      <w:bookmarkStart w:id="25" w:name="ex_849578.htm"/>
      <w:bookmarkStart w:id="26" w:name="ksex_849578"/>
      <w:bookmarkEnd w:id="25"/>
      <w:bookmarkEnd w:id="26"/>
      <w:r>
        <w:br w:type="page"/>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32.1</w:t>
      </w:r>
    </w:p>
    <w:p>
      <w:pPr>
        <w:pStyle w:val="TextBody"/>
        <w:bidi w:val="0"/>
        <w:spacing w:before="0" w:after="0"/>
        <w:ind w:left="0" w:right="0" w:hanging="0"/>
        <w:jc w:val="left"/>
        <w:rPr/>
      </w:pPr>
      <w:r>
        <w:rPr/>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WRITTEN STATEMENT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1350</w:t>
      </w:r>
    </w:p>
    <w:p>
      <w:pPr>
        <w:pStyle w:val="TextBody"/>
        <w:bidi w:val="0"/>
        <w:spacing w:before="0" w:after="0"/>
        <w:ind w:left="0" w:right="0" w:hanging="0"/>
        <w:jc w:val="left"/>
        <w:rPr/>
      </w:pPr>
      <w:r>
        <w:rPr/>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Solely for the purposes of complying with 18 U.S.C. 1350, I, the undersigned Chief Executive Officer and Principal Financial Officer of Liquidmetal Technologies, Inc. (the “Company”) hereby certify, based on my knowledge, that the Quarterly Report on Form 10-Q of the Company for the quarter ended June 30, 2025 (the “Report”) fully complies with the requirements of Section 13(a) of the Securities Exchange Act of 1934 and that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r>
    </w:p>
    <w:tbl>
      <w:tblPr>
        <w:tblW w:w="5629" w:type="dxa"/>
        <w:jc w:val="left"/>
        <w:tblInd w:w="0" w:type="dxa"/>
        <w:tblLayout w:type="fixed"/>
        <w:tblCellMar>
          <w:top w:w="0" w:type="dxa"/>
          <w:left w:w="0" w:type="dxa"/>
          <w:bottom w:w="28" w:type="dxa"/>
          <w:right w:w="0" w:type="dxa"/>
        </w:tblCellMar>
      </w:tblPr>
      <w:tblGrid>
        <w:gridCol w:w="5546"/>
        <w:gridCol w:w="83"/>
      </w:tblGrid>
      <w:tr>
        <w:trPr/>
        <w:tc>
          <w:tcPr>
            <w:tcW w:w="554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Tony Chung                           </w:t>
            </w:r>
          </w:p>
        </w:tc>
        <w:tc>
          <w:tcPr>
            <w:tcW w:w="83" w:type="dxa"/>
            <w:tcBorders/>
            <w:tcMar>
              <w:bottom w:w="0" w:type="dxa"/>
            </w:tcMar>
            <w:vAlign w:val="center"/>
          </w:tcPr>
          <w:p>
            <w:pPr>
              <w:pStyle w:val="TableContents"/>
              <w:bidi w:val="0"/>
              <w:spacing w:before="0" w:after="283"/>
              <w:jc w:val="left"/>
              <w:rPr/>
            </w:pPr>
            <w:r>
              <w:rPr/>
            </w:r>
          </w:p>
        </w:tc>
      </w:tr>
      <w:tr>
        <w:trPr/>
        <w:tc>
          <w:tcPr>
            <w:tcW w:w="5629" w:type="dxa"/>
            <w:gridSpan w:val="2"/>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Tony Chung, Chief Executive Officer and Principal Financial Officer</w:t>
            </w:r>
          </w:p>
        </w:tc>
      </w:tr>
      <w:tr>
        <w:trPr/>
        <w:tc>
          <w:tcPr>
            <w:tcW w:w="5546"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August 13, 2025</w:t>
            </w:r>
          </w:p>
        </w:tc>
        <w:tc>
          <w:tcPr>
            <w:tcW w:w="83" w:type="dxa"/>
            <w:tcBorders/>
            <w:tcMar>
              <w:bottom w:w="0" w:type="dxa"/>
            </w:tcMar>
            <w:vAlign w:val="center"/>
          </w:tcPr>
          <w:p>
            <w:pPr>
              <w:pStyle w:val="TableContents"/>
              <w:bidi w:val="0"/>
              <w:spacing w:before="0" w:after="283"/>
              <w:jc w:val="left"/>
              <w:rPr/>
            </w:pPr>
            <w:r>
              <w:rPr/>
            </w:r>
          </w:p>
        </w:tc>
      </w:tr>
    </w:tbl>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12615</Words>
  <Characters>67483</Characters>
  <CharactersWithSpaces>83019</CharactersWithSpaces>
  <Paragraphs>6238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