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qmt20230930_10q.htm"/>
      <w:bookmarkStart w:id="1" w:name="kslqmt202309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rPr>
        <w:t>         </w:t>
      </w: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No</w:t>
      </w:r>
      <w:r>
        <w:rPr>
          <w:rFonts w:ascii="Times New Roman" w:hAnsi="Times New Roman"/>
          <w:caps w:val="false"/>
          <w:smallCaps w:val="false"/>
          <w:sz w:val="20"/>
        </w:rPr>
        <w:t xml:space="preserve">.  </w:t>
      </w:r>
      <w:r>
        <w:rPr>
          <w:rFonts w:ascii="Times New Roman" w:hAnsi="Times New Roman"/>
          <w:b/>
          <w:caps w:val="false"/>
          <w:smallCaps w:val="false"/>
          <w:sz w:val="20"/>
        </w:rPr>
        <w:t>001-31332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LIQUIDMETAL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Exact name of Registrant as specified in its charter</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480"/>
        <w:gridCol w:w="1520"/>
      </w:tblGrid>
      <w:tr>
        <w:trPr/>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33-0264467</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20321 Valencia Circle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Lake Forest, CA 92630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(949) 635-2100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2900"/>
        <w:gridCol w:w="1940"/>
        <w:gridCol w:w="1940"/>
      </w:tblGrid>
      <w:tr>
        <w:trPr/>
        <w:tc>
          <w:tcPr>
            <w:tcW w:w="2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r>
      <w:tr>
        <w:trPr/>
        <w:tc>
          <w:tcPr>
            <w:tcW w:w="290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        </w:t>
            </w:r>
          </w:p>
        </w:tc>
        <w:tc>
          <w:tcPr>
            <w:tcW w:w="388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common shares outstanding as of November 14, 2023 was 917,285,149.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LIQUIDMETAL TECHNOLOGIES, INC.</w:t>
      </w:r>
      <w:r>
        <w:rPr>
          <w:rFonts w:ascii="Times New Roman" w:hAnsi="Times New Roman"/>
          <w:caps w:val="false"/>
          <w:smallCaps w:val="false"/>
          <w:sz w:val="20"/>
        </w:rPr>
        <w:br/>
      </w:r>
      <w:r>
        <w:rPr>
          <w:rFonts w:ascii="Times New Roman" w:hAnsi="Times New Roman"/>
          <w:b/>
          <w:caps w:val="false"/>
          <w:smallCaps w:val="false"/>
          <w:sz w:val="20"/>
        </w:rPr>
        <w:t>FORM 10-Q</w:t>
      </w:r>
      <w:r>
        <w:rPr>
          <w:rFonts w:ascii="Times New Roman" w:hAnsi="Times New Roman"/>
          <w:caps w:val="false"/>
          <w:smallCaps w:val="false"/>
          <w:sz w:val="20"/>
        </w:rPr>
        <w:br/>
      </w:r>
      <w:r>
        <w:rPr>
          <w:rFonts w:ascii="Times New Roman" w:hAnsi="Times New Roman"/>
          <w:b/>
          <w:caps w:val="false"/>
          <w:smallCaps w:val="false"/>
          <w:sz w:val="20"/>
        </w:rPr>
        <w:t>FOR THE QUARTER ENDED</w:t>
      </w:r>
      <w:r>
        <w:rPr>
          <w:rFonts w:ascii="Times New Roman" w:hAnsi="Times New Roman"/>
          <w:caps w:val="false"/>
          <w:smallCaps w:val="false"/>
          <w:sz w:val="20"/>
        </w:rPr>
        <w:t xml:space="preserve"> </w:t>
      </w:r>
      <w:r>
        <w:rPr>
          <w:rFonts w:ascii="Times New Roman" w:hAnsi="Times New Roman"/>
          <w:b/>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of Liquidmetal Technologies, Inc. contains “forward-looking statements” that may state our management’s plans, future events, objectives, current expectations, estimates, forecasts, assumptions or projections about the company and its business. Any statement in this report that is not a statement of historical fact is a forward-looking statement, and in some cases, words such as “believes,” “estimates,” “projects,” “expects,” “intends,” “may,” “anticipates,” “plans,” “seeks,” and similar words or expressions identify forward-looking statements. Forward-looking statements involve risks and uncertainties that could cause actual outcomes and results to differ materially from the anticipated outcomes or results. These statements are not guarantees of future performance, and undue reliance should not be placed on these statements. It is important to note that our actual results could differ materially from what is expressed in our forward-looking statements due to the risk factors described in the section of our Annual Report on Form 10-K for the year ended December 31, 2022 entitled “Risk Factors,” as well as the following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170"/>
        <w:gridCol w:w="977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history of operating losses and the uncertainty surrounding our ability to achieve or sustain profitability;</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limited history of developing and selling products made from our bulk amorphous alloys;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Challenges associated with having products manufactured from our alloys and the use of third parties for manufacturing;</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limited history of licensing our technology to third parties;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Lengthy customer adoption cycles and unpredictable customer adoption practices;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identify, develop, and commercialize new product applications for our technology;</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Competition from current suppliers of incumbent materials or producers of competing products;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identify, consummate, and/or integrate strategic partnerships;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potential for manufacturing problems or delays;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difficulties associated with protecting or expanding our intellectual property position;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undertake no obligation, other than as required by applicable law,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274" w:type="dxa"/>
        <w:jc w:val="left"/>
        <w:tblInd w:w="0" w:type="dxa"/>
        <w:tblLayout w:type="fixed"/>
        <w:tblCellMar>
          <w:top w:w="0" w:type="dxa"/>
          <w:left w:w="0" w:type="dxa"/>
          <w:bottom w:w="0" w:type="dxa"/>
          <w:right w:w="0" w:type="dxa"/>
        </w:tblCellMar>
      </w:tblPr>
      <w:tblGrid>
        <w:gridCol w:w="60"/>
        <w:gridCol w:w="99"/>
        <w:gridCol w:w="7885"/>
        <w:gridCol w:w="230"/>
      </w:tblGrid>
      <w:tr>
        <w:trPr/>
        <w:tc>
          <w:tcPr>
            <w:tcW w:w="8044" w:type="dxa"/>
            <w:gridSpan w:val="3"/>
            <w:tcBorders/>
            <w:vAlign w:val="center"/>
          </w:tcPr>
          <w:p>
            <w:pPr>
              <w:pStyle w:val="TableContents"/>
              <w:bidi w:val="0"/>
              <w:spacing w:before="0" w:after="0"/>
              <w:ind w:left="0" w:right="0" w:hanging="0"/>
              <w:jc w:val="left"/>
              <w:rPr/>
            </w:pPr>
            <w:hyperlink w:anchor="part1">
              <w:r>
                <w:rPr>
                  <w:rStyle w:val="InternetLink"/>
                  <w:rFonts w:ascii="Times New Roman" w:hAnsi="Times New Roman"/>
                  <w:b/>
                  <w:caps w:val="false"/>
                  <w:smallCaps w:val="false"/>
                  <w:sz w:val="20"/>
                  <w:u w:val="single"/>
                </w:rPr>
                <w:t>PART I - Financial Information</w:t>
              </w:r>
            </w:hyperlink>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4" w:type="dxa"/>
            <w:gridSpan w:val="2"/>
            <w:tcBorders/>
            <w:vAlign w:val="center"/>
          </w:tcPr>
          <w:p>
            <w:pPr>
              <w:pStyle w:val="TableContents"/>
              <w:bidi w:val="0"/>
              <w:spacing w:before="0" w:after="0"/>
              <w:ind w:left="0" w:right="0" w:hanging="0"/>
              <w:jc w:val="left"/>
              <w:rPr/>
            </w:pPr>
            <w:hyperlink w:anchor="item1">
              <w:r>
                <w:rPr>
                  <w:rStyle w:val="InternetLink"/>
                  <w:rFonts w:ascii="Times New Roman" w:hAnsi="Times New Roman"/>
                  <w:caps w:val="false"/>
                  <w:smallCaps w:val="false"/>
                  <w:sz w:val="20"/>
                  <w:u w:val="single"/>
                </w:rPr>
                <w:t>Item 1 – Financial Statements</w:t>
              </w:r>
            </w:hyperlink>
          </w:p>
        </w:tc>
        <w:tc>
          <w:tcPr>
            <w:tcW w:w="230" w:type="dxa"/>
            <w:tcBorders/>
            <w:vAlign w:val="center"/>
          </w:tcPr>
          <w:p>
            <w:pPr>
              <w:pStyle w:val="TableContents"/>
              <w:bidi w:val="0"/>
              <w:spacing w:before="0" w:after="0"/>
              <w:ind w:left="0" w:right="0" w:hanging="0"/>
              <w:jc w:val="center"/>
              <w:rPr/>
            </w:pPr>
            <w:hyperlink w:anchor="item1">
              <w:r>
                <w:rPr>
                  <w:rStyle w:val="InternetLink"/>
                  <w:rFonts w:ascii="Times New Roman" w:hAnsi="Times New Roman"/>
                  <w:caps w:val="false"/>
                  <w:smallCaps w:val="false"/>
                  <w:sz w:val="20"/>
                  <w:u w:val="single"/>
                </w:rPr>
                <w:t>4</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0"/>
              <w:ind w:left="0" w:right="0" w:hanging="0"/>
              <w:jc w:val="left"/>
              <w:rPr/>
            </w:pPr>
            <w:hyperlink w:anchor="balance_sheet">
              <w:r>
                <w:rPr>
                  <w:rStyle w:val="InternetLink"/>
                  <w:rFonts w:ascii="Times New Roman" w:hAnsi="Times New Roman"/>
                  <w:caps w:val="false"/>
                  <w:smallCaps w:val="false"/>
                  <w:sz w:val="20"/>
                  <w:u w:val="single"/>
                </w:rPr>
                <w:t>Consolidated Balance Sheets</w:t>
              </w:r>
            </w:hyperlink>
          </w:p>
        </w:tc>
        <w:tc>
          <w:tcPr>
            <w:tcW w:w="230" w:type="dxa"/>
            <w:tcBorders/>
            <w:vAlign w:val="center"/>
          </w:tcPr>
          <w:p>
            <w:pPr>
              <w:pStyle w:val="TableContents"/>
              <w:bidi w:val="0"/>
              <w:spacing w:before="0" w:after="0"/>
              <w:ind w:left="0" w:right="0" w:hanging="0"/>
              <w:jc w:val="center"/>
              <w:rPr/>
            </w:pPr>
            <w:hyperlink w:anchor="balance_sheet">
              <w:r>
                <w:rPr>
                  <w:rStyle w:val="InternetLink"/>
                  <w:rFonts w:ascii="Times New Roman" w:hAnsi="Times New Roman"/>
                  <w:caps w:val="false"/>
                  <w:smallCaps w:val="false"/>
                  <w:sz w:val="20"/>
                  <w:u w:val="single"/>
                </w:rPr>
                <w:t>4</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0"/>
              <w:ind w:left="0" w:right="0" w:hanging="0"/>
              <w:jc w:val="left"/>
              <w:rPr/>
            </w:pPr>
            <w:hyperlink w:anchor="state_of_op">
              <w:r>
                <w:rPr>
                  <w:rStyle w:val="InternetLink"/>
                  <w:rFonts w:ascii="Times New Roman" w:hAnsi="Times New Roman"/>
                  <w:caps w:val="false"/>
                  <w:smallCaps w:val="false"/>
                  <w:sz w:val="20"/>
                  <w:u w:val="single"/>
                </w:rPr>
                <w:t>Consolidated Statements of Operations</w:t>
              </w:r>
            </w:hyperlink>
          </w:p>
        </w:tc>
        <w:tc>
          <w:tcPr>
            <w:tcW w:w="230" w:type="dxa"/>
            <w:tcBorders/>
            <w:vAlign w:val="center"/>
          </w:tcPr>
          <w:p>
            <w:pPr>
              <w:pStyle w:val="TableContents"/>
              <w:bidi w:val="0"/>
              <w:spacing w:before="0" w:after="0"/>
              <w:ind w:left="0" w:right="0" w:hanging="0"/>
              <w:jc w:val="center"/>
              <w:rPr/>
            </w:pPr>
            <w:hyperlink w:anchor="state_of_op">
              <w:r>
                <w:rPr>
                  <w:rStyle w:val="InternetLink"/>
                  <w:rFonts w:ascii="Times New Roman" w:hAnsi="Times New Roman"/>
                  <w:caps w:val="false"/>
                  <w:smallCaps w:val="false"/>
                  <w:sz w:val="20"/>
                  <w:u w:val="single"/>
                </w:rPr>
                <w:t>5</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0"/>
              <w:ind w:left="0" w:right="0" w:hanging="0"/>
              <w:jc w:val="left"/>
              <w:rPr/>
            </w:pPr>
            <w:hyperlink w:anchor="comp_loss">
              <w:r>
                <w:rPr>
                  <w:rStyle w:val="InternetLink"/>
                  <w:rFonts w:ascii="Times New Roman" w:hAnsi="Times New Roman"/>
                  <w:caps w:val="false"/>
                  <w:smallCaps w:val="false"/>
                  <w:sz w:val="20"/>
                  <w:u w:val="single"/>
                </w:rPr>
                <w:t>Consolidated Statements of Comprehensive Income (Loss)</w:t>
              </w:r>
            </w:hyperlink>
          </w:p>
        </w:tc>
        <w:tc>
          <w:tcPr>
            <w:tcW w:w="230" w:type="dxa"/>
            <w:tcBorders/>
            <w:vAlign w:val="center"/>
          </w:tcPr>
          <w:p>
            <w:pPr>
              <w:pStyle w:val="TableContents"/>
              <w:bidi w:val="0"/>
              <w:spacing w:before="0" w:after="0"/>
              <w:ind w:left="0" w:right="0" w:hanging="0"/>
              <w:jc w:val="center"/>
              <w:rPr/>
            </w:pPr>
            <w:hyperlink w:anchor="comp_loss">
              <w:r>
                <w:rPr>
                  <w:rStyle w:val="InternetLink"/>
                  <w:rFonts w:ascii="Times New Roman" w:hAnsi="Times New Roman"/>
                  <w:caps w:val="false"/>
                  <w:smallCaps w:val="false"/>
                  <w:sz w:val="20"/>
                  <w:u w:val="single"/>
                </w:rPr>
                <w:t>6</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0"/>
              <w:ind w:left="0" w:right="0" w:hanging="0"/>
              <w:jc w:val="left"/>
              <w:rPr/>
            </w:pPr>
            <w:hyperlink w:anchor="cash_flows">
              <w:r>
                <w:rPr>
                  <w:rStyle w:val="InternetLink"/>
                  <w:rFonts w:ascii="Times New Roman" w:hAnsi="Times New Roman"/>
                  <w:caps w:val="false"/>
                  <w:smallCaps w:val="false"/>
                  <w:sz w:val="20"/>
                  <w:u w:val="single"/>
                </w:rPr>
                <w:t>Consolidated Statements of Cash Flows</w:t>
              </w:r>
            </w:hyperlink>
          </w:p>
        </w:tc>
        <w:tc>
          <w:tcPr>
            <w:tcW w:w="230" w:type="dxa"/>
            <w:tcBorders/>
            <w:vAlign w:val="center"/>
          </w:tcPr>
          <w:p>
            <w:pPr>
              <w:pStyle w:val="TableContents"/>
              <w:bidi w:val="0"/>
              <w:spacing w:before="0" w:after="0"/>
              <w:ind w:left="0" w:right="0" w:hanging="0"/>
              <w:jc w:val="center"/>
              <w:rPr/>
            </w:pPr>
            <w:hyperlink w:anchor="cash_flows">
              <w:r>
                <w:rPr>
                  <w:rStyle w:val="InternetLink"/>
                  <w:rFonts w:ascii="Times New Roman" w:hAnsi="Times New Roman"/>
                  <w:caps w:val="false"/>
                  <w:smallCaps w:val="false"/>
                  <w:sz w:val="20"/>
                  <w:u w:val="single"/>
                </w:rPr>
                <w:t>7</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u w:val="single"/>
                </w:rPr>
                <w:t>Notes to Consolidated Financial Statements</w:t>
              </w:r>
            </w:hyperlink>
          </w:p>
        </w:tc>
        <w:tc>
          <w:tcPr>
            <w:tcW w:w="23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u w:val="single"/>
                </w:rPr>
                <w:t>8</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4" w:type="dxa"/>
            <w:gridSpan w:val="2"/>
            <w:tcBorders/>
            <w:vAlign w:val="center"/>
          </w:tcPr>
          <w:p>
            <w:pPr>
              <w:pStyle w:val="TableContents"/>
              <w:bidi w:val="0"/>
              <w:spacing w:before="0" w:after="0"/>
              <w:ind w:left="0" w:right="0" w:hanging="0"/>
              <w:jc w:val="left"/>
              <w:rPr/>
            </w:pPr>
            <w:hyperlink w:anchor="item2">
              <w:r>
                <w:rPr>
                  <w:rStyle w:val="InternetLink"/>
                  <w:rFonts w:ascii="Times New Roman" w:hAnsi="Times New Roman"/>
                  <w:caps w:val="false"/>
                  <w:smallCaps w:val="false"/>
                  <w:sz w:val="20"/>
                  <w:u w:val="single"/>
                </w:rPr>
                <w:t>Item 2 – Management’s Discussion and Analysis of Financial Condition and Results of Operations</w:t>
              </w:r>
            </w:hyperlink>
          </w:p>
        </w:tc>
        <w:tc>
          <w:tcPr>
            <w:tcW w:w="230" w:type="dxa"/>
            <w:tcBorders/>
            <w:vAlign w:val="center"/>
          </w:tcPr>
          <w:p>
            <w:pPr>
              <w:pStyle w:val="TableContents"/>
              <w:bidi w:val="0"/>
              <w:spacing w:before="0" w:after="0"/>
              <w:ind w:left="0" w:right="0" w:hanging="0"/>
              <w:jc w:val="center"/>
              <w:rPr/>
            </w:pPr>
            <w:hyperlink w:anchor="item2">
              <w:r>
                <w:rPr>
                  <w:rStyle w:val="InternetLink"/>
                  <w:rFonts w:ascii="Times New Roman" w:hAnsi="Times New Roman"/>
                  <w:caps w:val="false"/>
                  <w:smallCaps w:val="false"/>
                  <w:sz w:val="20"/>
                  <w:u w:val="single"/>
                </w:rPr>
                <w:t>19</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4" w:type="dxa"/>
            <w:gridSpan w:val="2"/>
            <w:tcBorders/>
            <w:vAlign w:val="center"/>
          </w:tcPr>
          <w:p>
            <w:pPr>
              <w:pStyle w:val="TableContents"/>
              <w:bidi w:val="0"/>
              <w:spacing w:before="0" w:after="0"/>
              <w:ind w:left="0" w:right="0" w:hanging="0"/>
              <w:jc w:val="left"/>
              <w:rPr/>
            </w:pPr>
            <w:hyperlink w:anchor="item3">
              <w:r>
                <w:rPr>
                  <w:rStyle w:val="InternetLink"/>
                  <w:rFonts w:ascii="Times New Roman" w:hAnsi="Times New Roman"/>
                  <w:caps w:val="false"/>
                  <w:smallCaps w:val="false"/>
                  <w:sz w:val="20"/>
                  <w:u w:val="single"/>
                </w:rPr>
                <w:t>Item 3 – Quantitative and Qualitative Disclosures about Market Risk</w:t>
              </w:r>
            </w:hyperlink>
          </w:p>
        </w:tc>
        <w:tc>
          <w:tcPr>
            <w:tcW w:w="230" w:type="dxa"/>
            <w:tcBorders/>
            <w:vAlign w:val="center"/>
          </w:tcPr>
          <w:p>
            <w:pPr>
              <w:pStyle w:val="TableContents"/>
              <w:bidi w:val="0"/>
              <w:spacing w:before="0" w:after="0"/>
              <w:ind w:left="0" w:right="0" w:hanging="0"/>
              <w:jc w:val="center"/>
              <w:rPr/>
            </w:pPr>
            <w:hyperlink w:anchor="item3">
              <w:r>
                <w:rPr>
                  <w:rStyle w:val="InternetLink"/>
                  <w:rFonts w:ascii="Times New Roman" w:hAnsi="Times New Roman"/>
                  <w:caps w:val="false"/>
                  <w:smallCaps w:val="false"/>
                  <w:sz w:val="20"/>
                  <w:u w:val="single"/>
                </w:rPr>
                <w:t>23</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4" w:type="dxa"/>
            <w:gridSpan w:val="2"/>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u w:val="single"/>
                </w:rPr>
                <w:t>Item 4 – Controls and Procedures</w:t>
              </w:r>
            </w:hyperlink>
          </w:p>
        </w:tc>
        <w:tc>
          <w:tcPr>
            <w:tcW w:w="230" w:type="dxa"/>
            <w:tcBorders/>
            <w:vAlign w:val="center"/>
          </w:tcPr>
          <w:p>
            <w:pPr>
              <w:pStyle w:val="TableContents"/>
              <w:bidi w:val="0"/>
              <w:spacing w:before="0" w:after="0"/>
              <w:ind w:left="0" w:right="0" w:hanging="0"/>
              <w:jc w:val="center"/>
              <w:rPr/>
            </w:pPr>
            <w:hyperlink w:anchor="item4">
              <w:r>
                <w:rPr>
                  <w:rStyle w:val="InternetLink"/>
                  <w:rFonts w:ascii="Times New Roman" w:hAnsi="Times New Roman"/>
                  <w:caps w:val="false"/>
                  <w:smallCaps w:val="false"/>
                  <w:sz w:val="20"/>
                  <w:u w:val="single"/>
                </w:rPr>
                <w:t>23</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044" w:type="dxa"/>
            <w:gridSpan w:val="3"/>
            <w:tcBorders/>
            <w:vAlign w:val="center"/>
          </w:tcPr>
          <w:p>
            <w:pPr>
              <w:pStyle w:val="TableContents"/>
              <w:bidi w:val="0"/>
              <w:spacing w:before="0" w:after="0"/>
              <w:ind w:left="0" w:right="0" w:hanging="0"/>
              <w:jc w:val="left"/>
              <w:rPr/>
            </w:pPr>
            <w:hyperlink w:anchor="part2">
              <w:r>
                <w:rPr>
                  <w:rStyle w:val="InternetLink"/>
                  <w:rFonts w:ascii="Times New Roman" w:hAnsi="Times New Roman"/>
                  <w:b/>
                  <w:caps w:val="false"/>
                  <w:smallCaps w:val="false"/>
                  <w:sz w:val="20"/>
                  <w:u w:val="single"/>
                </w:rPr>
                <w:t xml:space="preserve">PART II </w:t>
              </w:r>
            </w:hyperlink>
            <w:hyperlink w:anchor="part2">
              <w:r>
                <w:rPr>
                  <w:rStyle w:val="InternetLink"/>
                  <w:rFonts w:ascii="Times New Roman" w:hAnsi="Times New Roman"/>
                  <w:caps w:val="false"/>
                  <w:smallCaps w:val="false"/>
                  <w:sz w:val="20"/>
                  <w:u w:val="single"/>
                </w:rPr>
                <w:t>– </w:t>
              </w:r>
            </w:hyperlink>
            <w:hyperlink w:anchor="part2">
              <w:r>
                <w:rPr>
                  <w:rStyle w:val="InternetLink"/>
                  <w:rFonts w:ascii="Times New Roman" w:hAnsi="Times New Roman"/>
                  <w:b/>
                  <w:caps w:val="false"/>
                  <w:smallCaps w:val="false"/>
                  <w:sz w:val="20"/>
                  <w:u w:val="single"/>
                </w:rPr>
                <w:t>Other Information</w:t>
              </w:r>
            </w:hyperlink>
          </w:p>
        </w:tc>
        <w:tc>
          <w:tcPr>
            <w:tcW w:w="230" w:type="dxa"/>
            <w:tcBorders/>
            <w:vAlign w:val="center"/>
          </w:tcPr>
          <w:p>
            <w:pPr>
              <w:pStyle w:val="TableContents"/>
              <w:bidi w:val="0"/>
              <w:spacing w:before="0" w:after="0"/>
              <w:ind w:left="0" w:right="0" w:hanging="0"/>
              <w:jc w:val="center"/>
              <w:rPr/>
            </w:pPr>
            <w:hyperlink w:anchor="part2">
              <w:r>
                <w:rPr>
                  <w:rStyle w:val="InternetLink"/>
                  <w:rFonts w:ascii="Times New Roman" w:hAnsi="Times New Roman"/>
                  <w:caps w:val="false"/>
                  <w:smallCaps w:val="false"/>
                  <w:sz w:val="20"/>
                  <w:u w:val="single"/>
                </w:rPr>
                <w:t>24</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4" w:type="dxa"/>
            <w:gridSpan w:val="2"/>
            <w:tcBorders/>
            <w:vAlign w:val="center"/>
          </w:tcPr>
          <w:p>
            <w:pPr>
              <w:pStyle w:val="TableContents"/>
              <w:bidi w:val="0"/>
              <w:spacing w:before="0" w:after="0"/>
              <w:ind w:left="0" w:right="0" w:hanging="0"/>
              <w:jc w:val="left"/>
              <w:rPr/>
            </w:pPr>
            <w:hyperlink w:anchor="it1">
              <w:r>
                <w:rPr>
                  <w:rStyle w:val="InternetLink"/>
                  <w:rFonts w:ascii="Times New Roman" w:hAnsi="Times New Roman"/>
                  <w:caps w:val="false"/>
                  <w:smallCaps w:val="false"/>
                  <w:sz w:val="20"/>
                  <w:u w:val="single"/>
                </w:rPr>
                <w:t>Item 1 – Legal Proceedings</w:t>
              </w:r>
            </w:hyperlink>
          </w:p>
        </w:tc>
        <w:tc>
          <w:tcPr>
            <w:tcW w:w="230" w:type="dxa"/>
            <w:tcBorders/>
            <w:vAlign w:val="center"/>
          </w:tcPr>
          <w:p>
            <w:pPr>
              <w:pStyle w:val="TableContents"/>
              <w:bidi w:val="0"/>
              <w:spacing w:before="0" w:after="0"/>
              <w:ind w:left="0" w:right="0" w:hanging="0"/>
              <w:jc w:val="center"/>
              <w:rPr/>
            </w:pPr>
            <w:hyperlink w:anchor="it1">
              <w:r>
                <w:rPr>
                  <w:rStyle w:val="InternetLink"/>
                  <w:rFonts w:ascii="Times New Roman" w:hAnsi="Times New Roman"/>
                  <w:caps w:val="false"/>
                  <w:smallCaps w:val="false"/>
                  <w:sz w:val="20"/>
                  <w:u w:val="single"/>
                </w:rPr>
                <w:t>24</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4" w:type="dxa"/>
            <w:gridSpan w:val="2"/>
            <w:tcBorders/>
            <w:vAlign w:val="center"/>
          </w:tcPr>
          <w:p>
            <w:pPr>
              <w:pStyle w:val="TableContents"/>
              <w:bidi w:val="0"/>
              <w:spacing w:before="0" w:after="0"/>
              <w:ind w:left="0" w:right="0" w:hanging="0"/>
              <w:jc w:val="left"/>
              <w:rPr/>
            </w:pPr>
            <w:hyperlink w:anchor="it1a">
              <w:r>
                <w:rPr>
                  <w:rStyle w:val="InternetLink"/>
                  <w:rFonts w:ascii="Times New Roman" w:hAnsi="Times New Roman"/>
                  <w:caps w:val="false"/>
                  <w:smallCaps w:val="false"/>
                  <w:sz w:val="20"/>
                  <w:u w:val="single"/>
                </w:rPr>
                <w:t>Item 1A – Risk Factors</w:t>
              </w:r>
            </w:hyperlink>
          </w:p>
        </w:tc>
        <w:tc>
          <w:tcPr>
            <w:tcW w:w="230" w:type="dxa"/>
            <w:tcBorders/>
            <w:vAlign w:val="center"/>
          </w:tcPr>
          <w:p>
            <w:pPr>
              <w:pStyle w:val="TableContents"/>
              <w:bidi w:val="0"/>
              <w:spacing w:before="0" w:after="0"/>
              <w:ind w:left="0" w:right="0" w:hanging="0"/>
              <w:jc w:val="center"/>
              <w:rPr/>
            </w:pPr>
            <w:hyperlink w:anchor="it1a">
              <w:r>
                <w:rPr>
                  <w:rStyle w:val="InternetLink"/>
                  <w:rFonts w:ascii="Times New Roman" w:hAnsi="Times New Roman"/>
                  <w:caps w:val="false"/>
                  <w:smallCaps w:val="false"/>
                  <w:sz w:val="20"/>
                  <w:u w:val="single"/>
                </w:rPr>
                <w:t>24</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4" w:type="dxa"/>
            <w:gridSpan w:val="2"/>
            <w:tcBorders/>
            <w:vAlign w:val="center"/>
          </w:tcPr>
          <w:p>
            <w:pPr>
              <w:pStyle w:val="TableContents"/>
              <w:bidi w:val="0"/>
              <w:spacing w:before="0" w:after="0"/>
              <w:ind w:left="0" w:right="0" w:hanging="0"/>
              <w:jc w:val="left"/>
              <w:rPr/>
            </w:pPr>
            <w:hyperlink w:anchor="it2">
              <w:r>
                <w:rPr>
                  <w:rStyle w:val="InternetLink"/>
                  <w:rFonts w:ascii="Times New Roman" w:hAnsi="Times New Roman"/>
                  <w:caps w:val="false"/>
                  <w:smallCaps w:val="false"/>
                  <w:sz w:val="20"/>
                  <w:u w:val="single"/>
                </w:rPr>
                <w:t>Item 2 – Unregistered Sales of Equity Securities and Use of Proceeds</w:t>
              </w:r>
            </w:hyperlink>
          </w:p>
        </w:tc>
        <w:tc>
          <w:tcPr>
            <w:tcW w:w="230" w:type="dxa"/>
            <w:tcBorders/>
            <w:vAlign w:val="center"/>
          </w:tcPr>
          <w:p>
            <w:pPr>
              <w:pStyle w:val="TableContents"/>
              <w:bidi w:val="0"/>
              <w:spacing w:before="0" w:after="0"/>
              <w:ind w:left="0" w:right="0" w:hanging="0"/>
              <w:jc w:val="center"/>
              <w:rPr/>
            </w:pPr>
            <w:hyperlink w:anchor="item2">
              <w:r>
                <w:rPr>
                  <w:rStyle w:val="InternetLink"/>
                  <w:rFonts w:ascii="Times New Roman" w:hAnsi="Times New Roman"/>
                  <w:caps w:val="false"/>
                  <w:smallCaps w:val="false"/>
                  <w:sz w:val="20"/>
                  <w:u w:val="single"/>
                </w:rPr>
                <w:t>24</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4" w:type="dxa"/>
            <w:gridSpan w:val="2"/>
            <w:tcBorders/>
            <w:vAlign w:val="center"/>
          </w:tcPr>
          <w:p>
            <w:pPr>
              <w:pStyle w:val="TableContents"/>
              <w:bidi w:val="0"/>
              <w:spacing w:before="0" w:after="0"/>
              <w:ind w:left="0" w:right="0" w:hanging="0"/>
              <w:jc w:val="left"/>
              <w:rPr/>
            </w:pPr>
            <w:hyperlink w:anchor="it3">
              <w:r>
                <w:rPr>
                  <w:rStyle w:val="InternetLink"/>
                  <w:rFonts w:ascii="Times New Roman" w:hAnsi="Times New Roman"/>
                  <w:caps w:val="false"/>
                  <w:smallCaps w:val="false"/>
                  <w:sz w:val="20"/>
                  <w:u w:val="single"/>
                </w:rPr>
                <w:t>Item 3 – Defaults Upon Senior Securities</w:t>
              </w:r>
            </w:hyperlink>
          </w:p>
        </w:tc>
        <w:tc>
          <w:tcPr>
            <w:tcW w:w="230" w:type="dxa"/>
            <w:tcBorders/>
            <w:vAlign w:val="center"/>
          </w:tcPr>
          <w:p>
            <w:pPr>
              <w:pStyle w:val="TableContents"/>
              <w:bidi w:val="0"/>
              <w:spacing w:before="0" w:after="0"/>
              <w:ind w:left="0" w:right="0" w:hanging="0"/>
              <w:jc w:val="center"/>
              <w:rPr/>
            </w:pPr>
            <w:hyperlink w:anchor="it3">
              <w:r>
                <w:rPr>
                  <w:rStyle w:val="InternetLink"/>
                  <w:rFonts w:ascii="Times New Roman" w:hAnsi="Times New Roman"/>
                  <w:caps w:val="false"/>
                  <w:smallCaps w:val="false"/>
                  <w:sz w:val="20"/>
                  <w:u w:val="single"/>
                </w:rPr>
                <w:t>24</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4" w:type="dxa"/>
            <w:gridSpan w:val="2"/>
            <w:tcBorders/>
            <w:vAlign w:val="center"/>
          </w:tcPr>
          <w:p>
            <w:pPr>
              <w:pStyle w:val="TableContents"/>
              <w:bidi w:val="0"/>
              <w:spacing w:before="0" w:after="0"/>
              <w:ind w:left="0" w:right="0" w:hanging="0"/>
              <w:jc w:val="left"/>
              <w:rPr/>
            </w:pPr>
            <w:hyperlink w:anchor="it4">
              <w:r>
                <w:rPr>
                  <w:rStyle w:val="InternetLink"/>
                  <w:rFonts w:ascii="Times New Roman" w:hAnsi="Times New Roman"/>
                  <w:caps w:val="false"/>
                  <w:smallCaps w:val="false"/>
                  <w:sz w:val="20"/>
                  <w:u w:val="single"/>
                </w:rPr>
                <w:t>Item 4 – Mine Safety Disclosures</w:t>
              </w:r>
            </w:hyperlink>
          </w:p>
        </w:tc>
        <w:tc>
          <w:tcPr>
            <w:tcW w:w="230" w:type="dxa"/>
            <w:tcBorders/>
            <w:vAlign w:val="center"/>
          </w:tcPr>
          <w:p>
            <w:pPr>
              <w:pStyle w:val="TableContents"/>
              <w:bidi w:val="0"/>
              <w:spacing w:before="0" w:after="0"/>
              <w:ind w:left="0" w:right="0" w:hanging="0"/>
              <w:jc w:val="center"/>
              <w:rPr/>
            </w:pPr>
            <w:hyperlink w:anchor="it4">
              <w:r>
                <w:rPr>
                  <w:rStyle w:val="InternetLink"/>
                  <w:rFonts w:ascii="Times New Roman" w:hAnsi="Times New Roman"/>
                  <w:caps w:val="false"/>
                  <w:smallCaps w:val="false"/>
                  <w:sz w:val="20"/>
                  <w:u w:val="single"/>
                </w:rPr>
                <w:t>24</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4" w:type="dxa"/>
            <w:gridSpan w:val="2"/>
            <w:tcBorders/>
            <w:vAlign w:val="center"/>
          </w:tcPr>
          <w:p>
            <w:pPr>
              <w:pStyle w:val="TableContents"/>
              <w:bidi w:val="0"/>
              <w:spacing w:before="0" w:after="0"/>
              <w:ind w:left="0" w:right="0" w:hanging="0"/>
              <w:jc w:val="left"/>
              <w:rPr/>
            </w:pPr>
            <w:hyperlink w:anchor="it5">
              <w:r>
                <w:rPr>
                  <w:rStyle w:val="InternetLink"/>
                  <w:rFonts w:ascii="Times New Roman" w:hAnsi="Times New Roman"/>
                  <w:caps w:val="false"/>
                  <w:smallCaps w:val="false"/>
                  <w:sz w:val="20"/>
                  <w:u w:val="single"/>
                </w:rPr>
                <w:t>Item 5 – Other Information</w:t>
              </w:r>
            </w:hyperlink>
          </w:p>
        </w:tc>
        <w:tc>
          <w:tcPr>
            <w:tcW w:w="230" w:type="dxa"/>
            <w:tcBorders/>
            <w:vAlign w:val="center"/>
          </w:tcPr>
          <w:p>
            <w:pPr>
              <w:pStyle w:val="TableContents"/>
              <w:bidi w:val="0"/>
              <w:spacing w:before="0" w:after="0"/>
              <w:ind w:left="0" w:right="0" w:hanging="0"/>
              <w:jc w:val="center"/>
              <w:rPr/>
            </w:pPr>
            <w:hyperlink w:anchor="it5">
              <w:r>
                <w:rPr>
                  <w:rStyle w:val="InternetLink"/>
                  <w:rFonts w:ascii="Times New Roman" w:hAnsi="Times New Roman"/>
                  <w:caps w:val="false"/>
                  <w:smallCaps w:val="false"/>
                  <w:sz w:val="20"/>
                  <w:u w:val="single"/>
                </w:rPr>
                <w:t>24</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984" w:type="dxa"/>
            <w:gridSpan w:val="2"/>
            <w:tcBorders/>
            <w:vAlign w:val="center"/>
          </w:tcPr>
          <w:p>
            <w:pPr>
              <w:pStyle w:val="TableContents"/>
              <w:bidi w:val="0"/>
              <w:spacing w:before="0" w:after="0"/>
              <w:ind w:left="0" w:right="0" w:hanging="0"/>
              <w:jc w:val="left"/>
              <w:rPr/>
            </w:pPr>
            <w:hyperlink w:anchor="it6">
              <w:r>
                <w:rPr>
                  <w:rStyle w:val="InternetLink"/>
                  <w:rFonts w:ascii="Times New Roman" w:hAnsi="Times New Roman"/>
                  <w:caps w:val="false"/>
                  <w:smallCaps w:val="false"/>
                  <w:sz w:val="20"/>
                  <w:u w:val="single"/>
                </w:rPr>
                <w:t>Item 6 – Exhibits</w:t>
              </w:r>
            </w:hyperlink>
          </w:p>
        </w:tc>
        <w:tc>
          <w:tcPr>
            <w:tcW w:w="230" w:type="dxa"/>
            <w:tcBorders/>
            <w:vAlign w:val="center"/>
          </w:tcPr>
          <w:p>
            <w:pPr>
              <w:pStyle w:val="TableContents"/>
              <w:bidi w:val="0"/>
              <w:spacing w:before="0" w:after="0"/>
              <w:ind w:left="0" w:right="0" w:hanging="0"/>
              <w:jc w:val="center"/>
              <w:rPr/>
            </w:pPr>
            <w:hyperlink w:anchor="it6">
              <w:r>
                <w:rPr>
                  <w:rStyle w:val="InternetLink"/>
                  <w:rFonts w:ascii="Times New Roman" w:hAnsi="Times New Roman"/>
                  <w:caps w:val="false"/>
                  <w:smallCaps w:val="false"/>
                  <w:sz w:val="20"/>
                  <w:u w:val="single"/>
                </w:rPr>
                <w:t>24</w:t>
              </w:r>
            </w:hyperlink>
          </w:p>
        </w:tc>
      </w:tr>
      <w:tr>
        <w:trPr/>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8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8044" w:type="dxa"/>
            <w:gridSpan w:val="3"/>
            <w:tcBorders/>
            <w:vAlign w:val="center"/>
          </w:tcPr>
          <w:p>
            <w:pPr>
              <w:pStyle w:val="TableContents"/>
              <w:bidi w:val="0"/>
              <w:spacing w:before="0" w:after="0"/>
              <w:ind w:left="0" w:right="0" w:hanging="0"/>
              <w:jc w:val="left"/>
              <w:rPr/>
            </w:pPr>
            <w:hyperlink w:anchor="sig">
              <w:r>
                <w:rPr>
                  <w:rStyle w:val="InternetLink"/>
                  <w:rFonts w:ascii="Times New Roman" w:hAnsi="Times New Roman"/>
                  <w:caps w:val="false"/>
                  <w:smallCaps w:val="false"/>
                  <w:sz w:val="20"/>
                  <w:u w:val="single"/>
                </w:rPr>
                <w:t>Signatures</w:t>
              </w:r>
            </w:hyperlink>
          </w:p>
        </w:tc>
        <w:tc>
          <w:tcPr>
            <w:tcW w:w="230" w:type="dxa"/>
            <w:tcBorders/>
            <w:vAlign w:val="center"/>
          </w:tcPr>
          <w:p>
            <w:pPr>
              <w:pStyle w:val="TableContents"/>
              <w:bidi w:val="0"/>
              <w:spacing w:before="0" w:after="0"/>
              <w:ind w:left="0" w:right="0" w:hanging="0"/>
              <w:jc w:val="center"/>
              <w:rPr/>
            </w:pPr>
            <w:hyperlink w:anchor="sig">
              <w:r>
                <w:rPr>
                  <w:rStyle w:val="InternetLink"/>
                  <w:rFonts w:ascii="Times New Roman" w:hAnsi="Times New Roman"/>
                  <w:caps w:val="false"/>
                  <w:smallCaps w:val="false"/>
                  <w:sz w:val="20"/>
                  <w:u w:val="single"/>
                </w:rPr>
                <w:t>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FINANCIAL INFORMATION</w:t>
      </w:r>
    </w:p>
    <w:p>
      <w:pPr>
        <w:pStyle w:val="TextBody"/>
        <w:bidi w:val="0"/>
        <w:spacing w:before="0" w:after="0"/>
        <w:ind w:left="0" w:right="0" w:hanging="0"/>
        <w:jc w:val="both"/>
        <w:rPr>
          <w:rFonts w:ascii="Times New Roman" w:hAnsi="Times New Roman"/>
          <w:caps w:val="false"/>
          <w:smallCaps w:val="false"/>
          <w:sz w:val="20"/>
        </w:rPr>
      </w:pPr>
      <w:bookmarkStart w:id="4" w:name="item1"/>
      <w:bookmarkEnd w:id="4"/>
      <w:r>
        <w:rPr>
          <w:rFonts w:ascii="Times New Roman" w:hAnsi="Times New Roman"/>
          <w:b/>
          <w:caps w:val="false"/>
          <w:smallCaps w:val="false"/>
          <w:sz w:val="20"/>
        </w:rPr>
        <w:t xml:space="preserve">Item 1 </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alance_sheet"/>
      <w:bookmarkEnd w:id="5"/>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par value and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03"/>
        <w:gridCol w:w="60"/>
        <w:gridCol w:w="168"/>
        <w:gridCol w:w="922"/>
        <w:gridCol w:w="80"/>
        <w:gridCol w:w="60"/>
        <w:gridCol w:w="146"/>
        <w:gridCol w:w="885"/>
        <w:gridCol w:w="81"/>
      </w:tblGrid>
      <w:tr>
        <w:trPr/>
        <w:tc>
          <w:tcPr>
            <w:tcW w:w="7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1"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tc>
        <w:tc>
          <w:tcPr>
            <w:tcW w:w="81" w:type="dxa"/>
            <w:tcBorders/>
            <w:vAlign w:val="center"/>
          </w:tcPr>
          <w:p>
            <w:pPr>
              <w:pStyle w:val="TableContents"/>
              <w:bidi w:val="0"/>
              <w:spacing w:before="0" w:after="283"/>
              <w:jc w:val="left"/>
              <w:rPr/>
            </w:pPr>
            <w:r>
              <w:rPr/>
              <w:t> </w:t>
            </w:r>
          </w:p>
        </w:tc>
      </w:tr>
      <w:tr>
        <w:trPr/>
        <w:tc>
          <w:tcPr>
            <w:tcW w:w="7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2023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1" w:type="dxa"/>
            <w:tcBorders/>
            <w:vAlign w:val="center"/>
          </w:tcPr>
          <w:p>
            <w:pPr>
              <w:pStyle w:val="TableContents"/>
              <w:bidi w:val="0"/>
              <w:spacing w:before="0" w:after="283"/>
              <w:jc w:val="left"/>
              <w:rPr/>
            </w:pPr>
            <w:r>
              <w:rPr/>
              <w:t> </w:t>
            </w:r>
          </w:p>
        </w:tc>
      </w:tr>
      <w:tr>
        <w:trPr/>
        <w:tc>
          <w:tcPr>
            <w:tcW w:w="78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1"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(Audited)</w:t>
            </w:r>
          </w:p>
        </w:tc>
        <w:tc>
          <w:tcPr>
            <w:tcW w:w="81" w:type="dxa"/>
            <w:tcBorders/>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2,269</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Investments in debt securities- short term</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16,435</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Trade accounts receivable, net of allowance for doubtful accounts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162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19,283</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in debt securities- long term</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5,646</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7,980</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Patents and trademarks,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62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33,335</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62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902</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62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1,296</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 1,100,000,000 shares authorized; 917,285,149 and 917,285,149 shares issued and outstanding at September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Warrants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18,179</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288,013</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(276,459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(274,696</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03"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03"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Non-controlling interest in subsidiary</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03" w:type="dxa"/>
            <w:tcBorders/>
            <w:shd w:fill="CCEEFF" w:val="clear"/>
            <w:vAlign w:val="center"/>
          </w:tcPr>
          <w:p>
            <w:pPr>
              <w:pStyle w:val="TableContents"/>
              <w:bidi w:val="0"/>
              <w:spacing w:before="0" w:after="0"/>
              <w:ind w:left="1620" w:right="0" w:hanging="0"/>
              <w:jc w:val="left"/>
              <w:rPr>
                <w:rFonts w:ascii="Times New Roman" w:hAnsi="Times New Roman"/>
                <w:b/>
                <w:caps w:val="false"/>
                <w:smallCaps w:val="false"/>
                <w:sz w:val="20"/>
              </w:rPr>
            </w:pPr>
            <w:r>
              <w:rPr>
                <w:rFonts w:ascii="Times New Roman" w:hAnsi="Times New Roman"/>
                <w:b/>
                <w:caps w:val="false"/>
                <w:smallCaps w:val="false"/>
                <w:sz w:val="20"/>
              </w:rPr>
              <w:t>Total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32,039</w:t>
            </w:r>
          </w:p>
        </w:tc>
        <w:tc>
          <w:tcPr>
            <w:tcW w:w="81" w:type="dxa"/>
            <w:tcBorders/>
            <w:shd w:fill="CCEEFF" w:val="clear"/>
            <w:vAlign w:val="center"/>
          </w:tcPr>
          <w:p>
            <w:pPr>
              <w:pStyle w:val="TableContents"/>
              <w:bidi w:val="0"/>
              <w:spacing w:before="0" w:after="283"/>
              <w:jc w:val="left"/>
              <w:rPr/>
            </w:pPr>
            <w:r>
              <w:rPr/>
              <w:t> </w:t>
            </w:r>
          </w:p>
        </w:tc>
      </w:tr>
      <w:tr>
        <w:trPr/>
        <w:tc>
          <w:tcPr>
            <w:tcW w:w="7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803" w:type="dxa"/>
            <w:tcBorders/>
            <w:shd w:fill="CCEEFF" w:val="clear"/>
            <w:vAlign w:val="center"/>
          </w:tcPr>
          <w:p>
            <w:pPr>
              <w:pStyle w:val="TableContents"/>
              <w:bidi w:val="0"/>
              <w:spacing w:before="0" w:after="0"/>
              <w:ind w:left="162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33,335</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state_of_op"/>
      <w:bookmarkEnd w:id="6"/>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5"/>
        <w:gridCol w:w="60"/>
        <w:gridCol w:w="125"/>
        <w:gridCol w:w="1220"/>
        <w:gridCol w:w="80"/>
        <w:gridCol w:w="60"/>
        <w:gridCol w:w="125"/>
        <w:gridCol w:w="1220"/>
        <w:gridCol w:w="80"/>
        <w:gridCol w:w="60"/>
        <w:gridCol w:w="125"/>
        <w:gridCol w:w="1220"/>
        <w:gridCol w:w="80"/>
        <w:gridCol w:w="60"/>
        <w:gridCol w:w="125"/>
        <w:gridCol w:w="1220"/>
        <w:gridCol w:w="80"/>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w:t>
              <w:br/>
              <w:t>Ended 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Nine Months</w:t>
              <w:br/>
              <w:t>Ended September 30,</w:t>
            </w:r>
          </w:p>
        </w:tc>
        <w:tc>
          <w:tcPr>
            <w:tcW w:w="8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1080" w:right="0" w:hanging="0"/>
              <w:jc w:val="left"/>
              <w:rPr>
                <w:rFonts w:ascii="Times New Roman" w:hAnsi="Times New Roman"/>
                <w:b/>
                <w:caps w:val="false"/>
                <w:smallCaps w:val="false"/>
                <w:sz w:val="20"/>
              </w:rPr>
            </w:pPr>
            <w:r>
              <w:rPr>
                <w:rFonts w:ascii="Times New Roman" w:hAnsi="Times New Roman"/>
                <w:b/>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Selling, marketing,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2,319</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1080" w:right="0" w:hanging="0"/>
              <w:jc w:val="left"/>
              <w:rPr>
                <w:rFonts w:ascii="Times New Roman" w:hAnsi="Times New Roman"/>
                <w:b/>
                <w:caps w:val="false"/>
                <w:smallCaps w:val="false"/>
                <w:sz w:val="20"/>
              </w:rPr>
            </w:pPr>
            <w:r>
              <w:rPr>
                <w:rFonts w:ascii="Times New Roman" w:hAnsi="Times New Roman"/>
                <w:b/>
                <w:caps w:val="false"/>
                <w:smallCaps w:val="false"/>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Lease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Interest and investment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b/>
                <w:caps w:val="false"/>
                <w:smallCaps w:val="false"/>
                <w:sz w:val="20"/>
              </w:rPr>
              <w:t>Net</w:t>
            </w:r>
            <w:r>
              <w:rPr>
                <w:rFonts w:ascii="Times New Roman" w:hAnsi="Times New Roman"/>
                <w:caps w:val="false"/>
                <w:smallCaps w:val="false"/>
                <w:sz w:val="20"/>
              </w:rPr>
              <w:t xml:space="preserve"> </w:t>
            </w:r>
            <w:r>
              <w:rPr>
                <w:rFonts w:ascii="Times New Roman" w:hAnsi="Times New Roman"/>
                <w:b/>
                <w:caps w:val="false"/>
                <w:smallCaps w:val="false"/>
                <w:sz w:val="20"/>
              </w:rPr>
              <w:t>loss attributable to</w:t>
            </w:r>
            <w:r>
              <w:rPr>
                <w:rFonts w:ascii="Times New Roman" w:hAnsi="Times New Roman"/>
                <w:caps w:val="false"/>
                <w:smallCaps w:val="false"/>
                <w:sz w:val="20"/>
              </w:rPr>
              <w:t xml:space="preserve"> </w:t>
            </w:r>
            <w:r>
              <w:rPr>
                <w:rFonts w:ascii="Times New Roman" w:hAnsi="Times New Roman"/>
                <w:b/>
                <w:caps w:val="false"/>
                <w:smallCaps w:val="false"/>
                <w:sz w:val="20"/>
              </w:rPr>
              <w:t>Liquidmetal Technologies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 common share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Net loss per common share attributable to Liquidmetal Technologies shareholders,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Number of weighted average shares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917,285,149</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917,285,149</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917,285,149</w:t>
            </w:r>
          </w:p>
        </w:tc>
        <w:tc>
          <w:tcPr>
            <w:tcW w:w="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916,970,128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comp_loss"/>
      <w:bookmarkEnd w:id="7"/>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INCOME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069" w:type="dxa"/>
        <w:jc w:val="left"/>
        <w:tblInd w:w="0" w:type="dxa"/>
        <w:tblLayout w:type="fixed"/>
        <w:tblCellMar>
          <w:top w:w="0" w:type="dxa"/>
          <w:left w:w="0" w:type="dxa"/>
          <w:bottom w:w="0" w:type="dxa"/>
          <w:right w:w="0" w:type="dxa"/>
        </w:tblCellMar>
      </w:tblPr>
      <w:tblGrid>
        <w:gridCol w:w="6125"/>
        <w:gridCol w:w="60"/>
        <w:gridCol w:w="197"/>
        <w:gridCol w:w="624"/>
        <w:gridCol w:w="126"/>
        <w:gridCol w:w="94"/>
        <w:gridCol w:w="197"/>
        <w:gridCol w:w="624"/>
        <w:gridCol w:w="80"/>
        <w:gridCol w:w="60"/>
        <w:gridCol w:w="152"/>
        <w:gridCol w:w="664"/>
        <w:gridCol w:w="97"/>
        <w:gridCol w:w="73"/>
        <w:gridCol w:w="152"/>
        <w:gridCol w:w="664"/>
        <w:gridCol w:w="80"/>
      </w:tblGrid>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6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w:t>
              <w:br/>
              <w:t>Ended 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Nine Months</w:t>
              <w:br/>
              <w:t>Ended September 30,</w:t>
            </w:r>
          </w:p>
        </w:tc>
        <w:tc>
          <w:tcPr>
            <w:tcW w:w="8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6"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(1,764</w:t>
            </w:r>
          </w:p>
        </w:tc>
        <w:tc>
          <w:tcPr>
            <w:tcW w:w="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unrealized gains (losses) on available-for-sale securities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2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(1,409</w:t>
            </w:r>
          </w:p>
        </w:tc>
        <w:tc>
          <w:tcPr>
            <w:tcW w:w="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Comprehensive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w:t>
            </w:r>
          </w:p>
        </w:tc>
        <w:tc>
          <w:tcPr>
            <w:tcW w:w="12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(1,408</w:t>
            </w:r>
          </w:p>
        </w:tc>
        <w:tc>
          <w:tcPr>
            <w:tcW w:w="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cash_flows"/>
      <w:bookmarkEnd w:id="8"/>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643" w:type="dxa"/>
        <w:jc w:val="left"/>
        <w:tblInd w:w="0" w:type="dxa"/>
        <w:tblLayout w:type="fixed"/>
        <w:tblCellMar>
          <w:top w:w="0" w:type="dxa"/>
          <w:left w:w="0" w:type="dxa"/>
          <w:bottom w:w="0" w:type="dxa"/>
          <w:right w:w="0" w:type="dxa"/>
        </w:tblCellMar>
      </w:tblPr>
      <w:tblGrid>
        <w:gridCol w:w="5930"/>
        <w:gridCol w:w="60"/>
        <w:gridCol w:w="274"/>
        <w:gridCol w:w="1294"/>
        <w:gridCol w:w="175"/>
        <w:gridCol w:w="131"/>
        <w:gridCol w:w="274"/>
        <w:gridCol w:w="1425"/>
        <w:gridCol w:w="80"/>
      </w:tblGrid>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Nine Months Ended September 30,</w:t>
            </w:r>
          </w:p>
        </w:tc>
        <w:tc>
          <w:tcPr>
            <w:tcW w:w="8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16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42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(1,764</w:t>
            </w:r>
          </w:p>
        </w:tc>
        <w:tc>
          <w:tcPr>
            <w:tcW w:w="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1"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2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2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2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17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2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2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7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Other assets and liabilities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2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2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90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294"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(1,331</w:t>
            </w:r>
          </w:p>
        </w:tc>
        <w:tc>
          <w:tcPr>
            <w:tcW w:w="17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(1,452</w:t>
            </w:r>
          </w:p>
        </w:tc>
        <w:tc>
          <w:tcPr>
            <w:tcW w:w="80"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Purchases of debt securities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2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(6,933</w:t>
            </w:r>
          </w:p>
        </w:tc>
        <w:tc>
          <w:tcPr>
            <w:tcW w:w="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sales of debt securities</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15,674</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15,816</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900" w:right="0" w:hanging="0"/>
              <w:jc w:val="left"/>
              <w:rPr>
                <w:rFonts w:ascii="Times New Roman" w:hAnsi="Times New Roman"/>
                <w:b/>
                <w:caps w:val="false"/>
                <w:smallCaps w:val="false"/>
                <w:sz w:val="20"/>
              </w:rPr>
            </w:pPr>
            <w:r>
              <w:rPr>
                <w:rFonts w:ascii="Times New Roman" w:hAnsi="Times New Roman"/>
                <w:b/>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294"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8,741</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2,564</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Common stock issuance</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900" w:right="0" w:hanging="0"/>
              <w:jc w:val="left"/>
              <w:rPr>
                <w:rFonts w:ascii="Times New Roman" w:hAnsi="Times New Roman"/>
                <w:b/>
                <w:caps w:val="false"/>
                <w:smallCaps w:val="false"/>
                <w:sz w:val="20"/>
              </w:rPr>
            </w:pPr>
            <w:r>
              <w:rPr>
                <w:rFonts w:ascii="Times New Roman" w:hAnsi="Times New Roman"/>
                <w:b/>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294"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212</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Net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2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7,410</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1,324</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2,274</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4,096</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9,684</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5,420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9" w:name="notes"/>
      <w:bookmarkEnd w:id="9"/>
      <w:r>
        <w:rPr>
          <w:rFonts w:ascii="Times New Roman" w:hAnsi="Times New Roman"/>
          <w:b/>
          <w:caps w:val="false"/>
          <w:smallCaps w:val="false"/>
          <w:sz w:val="20"/>
        </w:rPr>
        <w:t>LIQUIDMETAL TECHNOLOGIES, INC. AND SUBSIDIARIES</w:t>
      </w:r>
      <w:r>
        <w:rPr>
          <w:rFonts w:ascii="Times New Roman" w:hAnsi="Times New Roman"/>
          <w:caps w:val="false"/>
          <w:smallCaps w:val="false"/>
          <w:sz w:val="20"/>
        </w:rPr>
        <w:br/>
      </w:r>
      <w:r>
        <w:rPr>
          <w:rFonts w:ascii="Times New Roman" w:hAnsi="Times New Roman"/>
          <w:b/>
          <w:caps w:val="false"/>
          <w:smallCaps w:val="false"/>
          <w:sz w:val="20"/>
        </w:rPr>
        <w:t>NOTES TO CONSOLIDATED FINANCIAL STATEMENTS</w:t>
      </w:r>
      <w:r>
        <w:rPr>
          <w:rFonts w:ascii="Times New Roman" w:hAnsi="Times New Roman"/>
          <w:caps w:val="false"/>
          <w:smallCaps w:val="false"/>
          <w:sz w:val="20"/>
        </w:rPr>
        <w:br/>
      </w:r>
      <w:r>
        <w:rPr>
          <w:rFonts w:ascii="Times New Roman" w:hAnsi="Times New Roman"/>
          <w:b/>
          <w:caps w:val="false"/>
          <w:smallCaps w:val="false"/>
          <w:sz w:val="20"/>
        </w:rPr>
        <w:t>For the Nine Months Ended September 30, 2023 and 2022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(numbers in thousands, except percentages,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Liquidmetal Technologies, Inc. (the “Company”) is a materials technology company that develops and commercializes products made from amorphous alloys. The Company’s family of alloys consists of a variety of bulk alloys and composites that utilize the advantages offered by amorphous alloys technology. The Company designs, develops, and sells products and custom parts from bulk amorphous alloys to customers in a wide range of industries. The Company also partners with </w:t>
      </w:r>
      <w:r>
        <w:rPr>
          <w:rStyle w:val="Emphasis"/>
          <w:rFonts w:ascii="Times New Roman" w:hAnsi="Times New Roman"/>
          <w:caps w:val="false"/>
          <w:smallCaps w:val="false"/>
          <w:sz w:val="20"/>
        </w:rPr>
        <w:t>third</w:t>
      </w:r>
      <w:r>
        <w:rPr>
          <w:rFonts w:ascii="Times New Roman" w:hAnsi="Times New Roman"/>
          <w:caps w:val="false"/>
          <w:smallCaps w:val="false"/>
          <w:sz w:val="20"/>
        </w:rPr>
        <w:t>-party manufacturers and licensees to develop and commercialize Liquidmetal alloy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the Company believes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The Company believes that the alloys and the molding technologies it employs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Interestingly, all of these characteristics are achievable from the molding process, so design engineers often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to select specific alloys to achieve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 characteristics as is the case with crystalline materials. The Company believes these advantages could result in Liquidmetal alloys supplanting high-performance alloys, such as titanium and stainless steel, and other incumbent materials in a wide variety of applications. Moreover, the Company believes these advantages could enable the introduction of entirely new products and applications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or commercially viable with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revenues are derived from i) selling bulk Liquidmetal alloy products to customers who produce medical devices, automotive assemblies, sports and leisure goods, and non-consumer electronic devices, ii) selling tooling and prototype parts such as demonstration parts and test samples for customers with products in development, iii) product licensing and royalty revenue, and iv) research and development revenue. The Company expects that these sources of revenue will continue to significantly change the character of the Company’s revenue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Basis of Presentation and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interim consolidated financial statements as of 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 xml:space="preserve">have been prepared in accordance with accounting principles generally accepted in the United States of America (“US GAAP”) for interim financial information and in accordance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notes required by US GAAP for complete financial statements. In the opinion of management, all adjustments (consisting only of normal recurring accruals) considered necessary for a fair presentation have been included. All intercompany balances and transactions have been eliminated in consolidation.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any future periods or the year ending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accompanying unaudited consolidated financial statements should be read in conjunction with the Company's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with the Securities and Exchange Commission (“SEC”) on </w:t>
      </w:r>
      <w:r>
        <w:rPr>
          <w:rStyle w:val="Emphasis"/>
          <w:rFonts w:ascii="Times New Roman" w:hAnsi="Times New Roman"/>
          <w:caps w:val="false"/>
          <w:smallCaps w:val="false"/>
          <w:sz w:val="20"/>
        </w:rPr>
        <w:t>March 14,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not recognize any other-than-temporary impairment losses considered to be credit related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estimated fair values of financial instruments reported in the consolidated financial statements have been determined using available market information and valuation methodologies, as applicable. The fair value of cash and restricted cash approximate their carrying value due to their short maturities and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instruments within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Entities are required to maximize the use of observable inputs and minimize the use of unobservable inputs when measuring fair value based upon the following fair value hierarchy:</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875"/>
        <w:gridCol w:w="5210"/>
      </w:tblGrid>
      <w:tr>
        <w:trPr/>
        <w:tc>
          <w:tcPr>
            <w:tcW w:w="8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w:t>
            </w:r>
          </w:p>
        </w:tc>
        <w:tc>
          <w:tcPr>
            <w:tcW w:w="52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Quoted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
        <w:gridCol w:w="9570"/>
      </w:tblGrid>
      <w:tr>
        <w:trPr/>
        <w:tc>
          <w:tcPr>
            <w:tcW w:w="63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w:t>
            </w:r>
          </w:p>
        </w:tc>
        <w:tc>
          <w:tcPr>
            <w:tcW w:w="957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Observable inputs other than 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prices, such as quoted prices for similar assets or liabilities; quoted prices in markets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active; or other inputs that are observable or can be corroborated by observable market data for substantially the full term of the assets or liabilities;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2"/>
        <w:gridCol w:w="9393"/>
      </w:tblGrid>
      <w:tr>
        <w:trPr/>
        <w:tc>
          <w:tcPr>
            <w:tcW w:w="81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xml:space="preserve"> —</w:t>
            </w:r>
          </w:p>
        </w:tc>
        <w:tc>
          <w:tcPr>
            <w:tcW w:w="9393"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Unobservable inputs that are supported by little or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market activity and that are significant to the fair value of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771" w:type="dxa"/>
        <w:jc w:val="left"/>
        <w:tblInd w:w="0" w:type="dxa"/>
        <w:tblLayout w:type="fixed"/>
        <w:tblCellMar>
          <w:top w:w="0" w:type="dxa"/>
          <w:left w:w="0" w:type="dxa"/>
          <w:bottom w:w="0" w:type="dxa"/>
          <w:right w:w="0" w:type="dxa"/>
        </w:tblCellMar>
      </w:tblPr>
      <w:tblGrid>
        <w:gridCol w:w="3410"/>
        <w:gridCol w:w="60"/>
        <w:gridCol w:w="163"/>
        <w:gridCol w:w="771"/>
        <w:gridCol w:w="60"/>
        <w:gridCol w:w="60"/>
        <w:gridCol w:w="133"/>
        <w:gridCol w:w="516"/>
        <w:gridCol w:w="60"/>
        <w:gridCol w:w="60"/>
        <w:gridCol w:w="133"/>
        <w:gridCol w:w="516"/>
        <w:gridCol w:w="60"/>
        <w:gridCol w:w="60"/>
        <w:gridCol w:w="395"/>
        <w:gridCol w:w="254"/>
        <w:gridCol w:w="6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6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in debt securities (short-term)</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in debt securities (long-term)</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0"/>
              <w:jc w:val="left"/>
              <w:rPr/>
            </w:pPr>
            <w:r>
              <w:rPr/>
              <w:t> </w:t>
            </w:r>
          </w:p>
        </w:tc>
        <w:tc>
          <w:tcPr>
            <w:tcW w:w="2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837" w:type="dxa"/>
        <w:jc w:val="left"/>
        <w:tblInd w:w="0" w:type="dxa"/>
        <w:tblLayout w:type="fixed"/>
        <w:tblCellMar>
          <w:top w:w="0" w:type="dxa"/>
          <w:left w:w="0" w:type="dxa"/>
          <w:bottom w:w="0" w:type="dxa"/>
          <w:right w:w="0" w:type="dxa"/>
        </w:tblCellMar>
      </w:tblPr>
      <w:tblGrid>
        <w:gridCol w:w="3410"/>
        <w:gridCol w:w="60"/>
        <w:gridCol w:w="163"/>
        <w:gridCol w:w="771"/>
        <w:gridCol w:w="60"/>
        <w:gridCol w:w="60"/>
        <w:gridCol w:w="125"/>
        <w:gridCol w:w="590"/>
        <w:gridCol w:w="60"/>
        <w:gridCol w:w="60"/>
        <w:gridCol w:w="133"/>
        <w:gridCol w:w="516"/>
        <w:gridCol w:w="60"/>
        <w:gridCol w:w="60"/>
        <w:gridCol w:w="395"/>
        <w:gridCol w:w="254"/>
        <w:gridCol w:w="6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6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in debt securities (short-term)</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in debt securities (long-term)</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0"/>
              <w:jc w:val="left"/>
              <w:rPr/>
            </w:pPr>
            <w:r>
              <w:rPr/>
              <w:t> </w:t>
            </w:r>
          </w:p>
        </w:tc>
        <w:tc>
          <w:tcPr>
            <w:tcW w:w="2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leases its manufacturing facility under a long-term contract, which is accounted for as an operating lease. The lease provides for a fixed base rent and variable payments comprised of reimbursements for property taxes, insurance, utilities, and common area maintenance. The lease has a term of sixty-two months, exclusive of options to renew. In accordance with </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842,</w:t>
      </w:r>
      <w:r>
        <w:rPr>
          <w:rFonts w:ascii="Times New Roman" w:hAnsi="Times New Roman"/>
          <w:i/>
          <w:caps w:val="false"/>
          <w:smallCaps w:val="false"/>
          <w:sz w:val="20"/>
        </w:rPr>
        <w:t xml:space="preserve"> Leases, </w:t>
      </w:r>
      <w:r>
        <w:rPr>
          <w:rFonts w:ascii="Times New Roman" w:hAnsi="Times New Roman"/>
          <w:caps w:val="false"/>
          <w:smallCaps w:val="false"/>
          <w:sz w:val="20"/>
        </w:rPr>
        <w:t>lease income, which includes escalating rents over the term of the lease, is recorded on a straight-line basis over the expected lease term. The difference between lease income and payments received is recorded as a rent receivable, which is included as a prepaid expense in the consolidated balance sheets. Amounts paid for broker commissions represent prepaid direct lease costs, and will be amortized as an off-set to lease income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Other Recent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recent accounting pronouncements issued by the FASB (including its Emerging Issues Task Force) and the SEC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or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believed by management to have a material impact on the Company's present or future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Yihao Manufacturing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12, 2022, </w:t>
      </w:r>
      <w:r>
        <w:rPr>
          <w:rFonts w:ascii="Times New Roman" w:hAnsi="Times New Roman"/>
          <w:caps w:val="false"/>
          <w:smallCaps w:val="false"/>
          <w:sz w:val="20"/>
        </w:rPr>
        <w:t>the Company entered into a manufacturing agreement (“Manufacturing Agreement”) with Dongguan Yihao Metal Materials Technology Co. Ltd. (“Yihao”) to become the primary contract manufacturer of the Company’s products. Under the Manufacturing Agreement, which has a term of five years, Yihao has agreed to serve as a non-exclusive contract manufacturer for amorphous alloy parts offered and sold by the Company at prices determined on a “cost-plus” basis. Yihao is an affiliate of Dongguan Eontec Co. Ltd. and Professor Lugee Li, the Company’s Chairman and largest beneficial owner of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Manufacturing Facility Purchase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16, 2017, </w:t>
      </w:r>
      <w:r>
        <w:rPr>
          <w:rFonts w:ascii="Times New Roman" w:hAnsi="Times New Roman"/>
          <w:caps w:val="false"/>
          <w:smallCaps w:val="false"/>
          <w:sz w:val="20"/>
        </w:rPr>
        <w:t xml:space="preserve">the Company purchased a 41,000 square foot manufacturing facility (the “Facility”) located in Lake Forest, CA, where operations commenced during </w:t>
      </w:r>
      <w:r>
        <w:rPr>
          <w:rStyle w:val="Emphasis"/>
          <w:rFonts w:ascii="Times New Roman" w:hAnsi="Times New Roman"/>
          <w:caps w:val="false"/>
          <w:smallCaps w:val="false"/>
          <w:sz w:val="20"/>
        </w:rPr>
        <w:t xml:space="preserve">July 2017. </w:t>
      </w:r>
      <w:r>
        <w:rPr>
          <w:rFonts w:ascii="Times New Roman" w:hAnsi="Times New Roman"/>
          <w:caps w:val="false"/>
          <w:smallCaps w:val="false"/>
          <w:sz w:val="20"/>
        </w:rPr>
        <w:t>The purchase price for the Facility was $7,818.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January 23, 2020, 20321</w:t>
      </w:r>
      <w:r>
        <w:rPr>
          <w:rFonts w:ascii="Times New Roman" w:hAnsi="Times New Roman"/>
          <w:caps w:val="false"/>
          <w:smallCaps w:val="false"/>
          <w:sz w:val="20"/>
        </w:rPr>
        <w:t xml:space="preserve"> Valencia, LLC, a Delaware limited liability company and wholly owned subsidiary of the Company, entered into a lease agreement (the “Facility Lease”) pursuant to which the Company leased to MatterHackers, Inc., a Delaware corporation (“Tenant”), an approximately 32,534 square foot portion of the Facility. The lease term is for 5 years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months and is scheduled to expire on </w:t>
      </w:r>
      <w:r>
        <w:rPr>
          <w:rStyle w:val="Emphasis"/>
          <w:rFonts w:ascii="Times New Roman" w:hAnsi="Times New Roman"/>
          <w:caps w:val="false"/>
          <w:smallCaps w:val="false"/>
          <w:sz w:val="20"/>
        </w:rPr>
        <w:t xml:space="preserve">April 30, 2025. </w:t>
      </w:r>
      <w:r>
        <w:rPr>
          <w:rFonts w:ascii="Times New Roman" w:hAnsi="Times New Roman"/>
          <w:caps w:val="false"/>
          <w:smallCaps w:val="false"/>
          <w:sz w:val="20"/>
        </w:rPr>
        <w:t xml:space="preserve">The base rent payable under the Facility Lease was $32,534 per month initially and is subject to periodic increases up to a maximum of approximately $39,000 per month. Tenant will pay approximately 79% of common operating expresses. The Facility Lease has other customary provisions, including provisions relating to default and usage restrictions. The Facility Lease grants to Tenant a right to extend the lease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additional 60-month period at market rental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10, 2016, </w:t>
      </w:r>
      <w:r>
        <w:rPr>
          <w:rFonts w:ascii="Times New Roman" w:hAnsi="Times New Roman"/>
          <w:caps w:val="false"/>
          <w:smallCaps w:val="false"/>
          <w:sz w:val="20"/>
        </w:rPr>
        <w:t>the Company and DongGuan Eontec Co., Ltd., a Hong Kong corporation (“Eontec”), entered into a Parallel License Agreement (the “License Agreement”) pursuant to which the parties agreed to cross-license certain patents, technical information, and trademarks between the Company and Eontec. In particular, the Company granted to Eontec a paid-up, royalty-free, perpetual license to the Company’s patents and related technical information to make, have made, use, offer to sell, sell, export, and import products in certain geographic areas outside of North America and Europe. In turn, Eontec granted to the Company a paid-up, royalty-free, perpetual license to Eontec’s patents and related technical information to make, have made, use, offer to sell, sell, export, and import products in certain geographic areas outside of specified countries in Asia. The license granted by the Company to Eontec is exclusive (including to the exclusion of the Company) in the countries of Brunei, Cambodia, China (P.R.C and R.O.C.), East Timor, Indonesia, Japan, Laos, Malaysia, Myanmar, Philippines, Singapore, South Korea, Thailand, and Vietnam. The license granted by Eontec to the Company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Beyond the License Agreement, the Company collaborates with Eontec and its affiliate Yihao to accelerate the commercialization of amorphous alloy technology. This includes but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developing technologies to reduce the cost of amorphous alloys, working on die cast machine technology platforms to pursue broader markets, sharing knowledge to broaden our intellectual property portfolio, and utilizing Yihao’s volume production capabilities as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contract manufacturer.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Eutectix Business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31, 2020, </w:t>
      </w:r>
      <w:r>
        <w:rPr>
          <w:rFonts w:ascii="Times New Roman" w:hAnsi="Times New Roman"/>
          <w:caps w:val="false"/>
          <w:smallCaps w:val="false"/>
          <w:sz w:val="20"/>
        </w:rPr>
        <w:t xml:space="preserve">the Company entered into a Business Development Agreement (the “Agreement”) with Eutectix, LLC, a Delaware limited liability company (“Eutectix”), which provides for collaboration, joint development efforts, and the manufacturing of products based on the Company’s proprietary amorphous metal alloys. Under the Agreement and amendments thereof, the Company licensed to Eutectix specified equipment owned by the Company, including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injection molding machines,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diecasting machines, and other machines and equipment, all of which will be used to make product for Company customers and Eutectix customers. The Company has also licensed to Eutectix various patents and technical information related to the Company’s proprietary technology. Under the Agreement, Eutectix agreed to pay the Company a royalty of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percent (6%) of the net sales price of licensed products sold by Eutectix, and Eutectix will also manufacture for the Company product ordered by the Company. The Agreement has a term of five years, subject to renewal provisions and the ability of either party to terminate earlier upon specified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5, 2010, </w:t>
      </w:r>
      <w:r>
        <w:rPr>
          <w:rFonts w:ascii="Times New Roman" w:hAnsi="Times New Roman"/>
          <w:caps w:val="false"/>
          <w:smallCaps w:val="false"/>
          <w:sz w:val="20"/>
        </w:rPr>
        <w:t xml:space="preserve">the Company entered into a license transaction with Apple Inc. (“Apple”) pursuant to which (i) the Company contributed substantially all of its intellectual property assets to a newly organized special-purpose, wholly-owned subsidiary, called Crucible Intellectual Property, LLC (“CIP”), (ii) CIP granted to Apple a perpetual, worldwide, exclusive license to commercialize such intellectual property in the field of consumer electronic products, as defined in the license agreement, in exchange for a </w:t>
      </w:r>
      <w:r>
        <w:rPr>
          <w:rStyle w:val="Emphasis"/>
          <w:rFonts w:ascii="Times New Roman" w:hAnsi="Times New Roman"/>
          <w:caps w:val="false"/>
          <w:smallCaps w:val="false"/>
          <w:sz w:val="20"/>
        </w:rPr>
        <w:t>one</w:t>
      </w:r>
      <w:r>
        <w:rPr>
          <w:rFonts w:ascii="Times New Roman" w:hAnsi="Times New Roman"/>
          <w:caps w:val="false"/>
          <w:smallCaps w:val="false"/>
          <w:sz w:val="20"/>
        </w:rPr>
        <w:t>-time, upfront license fee, and (iii) CIP granted back to the Company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agreements relating to the license transaction with Apple, the Company was obligated to contribute, to CIP, all intellectual property developed through </w:t>
      </w:r>
      <w:r>
        <w:rPr>
          <w:rStyle w:val="Emphasis"/>
          <w:rFonts w:ascii="Times New Roman" w:hAnsi="Times New Roman"/>
          <w:caps w:val="false"/>
          <w:smallCaps w:val="false"/>
          <w:sz w:val="20"/>
        </w:rPr>
        <w:t xml:space="preserve">February 2016. </w:t>
      </w:r>
      <w:r>
        <w:rPr>
          <w:rFonts w:ascii="Times New Roman" w:hAnsi="Times New Roman"/>
          <w:caps w:val="false"/>
          <w:smallCaps w:val="false"/>
          <w:sz w:val="20"/>
        </w:rPr>
        <w:t>The Company is also obligated to maintain certain limited liability company formalities with respect to CIP at all times after the closing of the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Liquidmetal Golf Sublicense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Liquidmetal Golf Inc. (“Liquidmetal Golf” or “LMG”) is a majority-owned subsidiary which has the exclusive right and license to utilize the Company’s Liquidmetal alloy technology for purposes of golf equipment applications. This right and license is set forth in an intercompany license agreement dated </w:t>
      </w:r>
      <w:r>
        <w:rPr>
          <w:rStyle w:val="Emphasis"/>
          <w:rFonts w:ascii="Times New Roman" w:hAnsi="Times New Roman"/>
          <w:caps w:val="false"/>
          <w:smallCaps w:val="false"/>
          <w:sz w:val="20"/>
        </w:rPr>
        <w:t xml:space="preserve">January 1, 2002 </w:t>
      </w:r>
      <w:r>
        <w:rPr>
          <w:rFonts w:ascii="Times New Roman" w:hAnsi="Times New Roman"/>
          <w:caps w:val="false"/>
          <w:smallCaps w:val="false"/>
          <w:sz w:val="20"/>
        </w:rPr>
        <w:t>between Liquidmetal Technologies and Liquidmetal Golf. This license agreement provides that Liquidmetal Golf has a perpetual and exclusive license to use Liquidmetal alloy technology for the purpose of manufacturing, marketing, and selling golf club components and other products used in the sport of golf. The Company owns 79% of the outstanding common stock in Liquidmetal Golf.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13, 2022, </w:t>
      </w:r>
      <w:r>
        <w:rPr>
          <w:rFonts w:ascii="Times New Roman" w:hAnsi="Times New Roman"/>
          <w:caps w:val="false"/>
          <w:smallCaps w:val="false"/>
          <w:sz w:val="20"/>
        </w:rPr>
        <w:t>Liquidmetal Golf entered into a sublicense agreement (“LMG Sublicense Agreement”) with Amorphous Technologies Japan, Inc. (“ATJ”), a newly formed Japanese entity that was established by Twins Corporation, a sporting goods company operating in Japan. Under the agreement, LMG granted to ATJ a nonexclusive worldwide sublicense to the Company’s amorphous alloy technology and related trademarks to manufacture and sell golf clubs and golf related products. The LMG Sublicense Agreement has a term of three years and provides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Swatch Group License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2009, </w:t>
      </w:r>
      <w:r>
        <w:rPr>
          <w:rFonts w:ascii="Times New Roman" w:hAnsi="Times New Roman"/>
          <w:caps w:val="false"/>
          <w:smallCaps w:val="false"/>
          <w:sz w:val="20"/>
        </w:rPr>
        <w:t xml:space="preserve">the Company entered into a license agreement with Swatch Group, Ltd. (“Swatch”) under which Swatch was granted a non-exclusive license to the Company’s technology to produce and market watches and certain other luxury products. In </w:t>
      </w:r>
      <w:r>
        <w:rPr>
          <w:rStyle w:val="Emphasis"/>
          <w:rFonts w:ascii="Times New Roman" w:hAnsi="Times New Roman"/>
          <w:caps w:val="false"/>
          <w:smallCaps w:val="false"/>
          <w:sz w:val="20"/>
        </w:rPr>
        <w:t xml:space="preserve">March 2011, </w:t>
      </w:r>
      <w:r>
        <w:rPr>
          <w:rFonts w:ascii="Times New Roman" w:hAnsi="Times New Roman"/>
          <w:caps w:val="false"/>
          <w:smallCaps w:val="false"/>
          <w:sz w:val="20"/>
        </w:rPr>
        <w:t xml:space="preserve">this license agreement was amended to grant Swatch exclusive rights as to watches as against all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(including the Company), but non-exclusive as to Apple. The Company will receive royalty payments over the life of the contract on all Liquidmetal products produced and sold by Swatch. The license agreement with Swatch will expire on the expiration date of the last licensed patent.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amortized cost fair value, and unrealized gains (losses) of investments in debt securities (short-term and long-term):</w:t>
      </w:r>
    </w:p>
    <w:p>
      <w:pPr>
        <w:pStyle w:val="TextBody"/>
        <w:bidi w:val="0"/>
        <w:spacing w:before="0" w:after="0"/>
        <w:ind w:left="0" w:right="0" w:hanging="0"/>
        <w:jc w:val="left"/>
        <w:rPr>
          <w:caps w:val="false"/>
          <w:smallCaps w:val="false"/>
        </w:rPr>
      </w:pPr>
      <w:r>
        <w:rPr>
          <w:caps w:val="false"/>
          <w:smallCaps w:val="false"/>
        </w:rPr>
        <w:t> </w:t>
      </w:r>
    </w:p>
    <w:tbl>
      <w:tblPr>
        <w:tblW w:w="9491" w:type="dxa"/>
        <w:jc w:val="left"/>
        <w:tblInd w:w="0" w:type="dxa"/>
        <w:tblLayout w:type="fixed"/>
        <w:tblCellMar>
          <w:top w:w="0" w:type="dxa"/>
          <w:left w:w="0" w:type="dxa"/>
          <w:bottom w:w="0" w:type="dxa"/>
          <w:right w:w="0" w:type="dxa"/>
        </w:tblCellMar>
      </w:tblPr>
      <w:tblGrid>
        <w:gridCol w:w="3155"/>
        <w:gridCol w:w="1190"/>
        <w:gridCol w:w="60"/>
        <w:gridCol w:w="109"/>
        <w:gridCol w:w="1080"/>
        <w:gridCol w:w="60"/>
        <w:gridCol w:w="60"/>
        <w:gridCol w:w="105"/>
        <w:gridCol w:w="1039"/>
        <w:gridCol w:w="60"/>
        <w:gridCol w:w="60"/>
        <w:gridCol w:w="109"/>
        <w:gridCol w:w="1080"/>
        <w:gridCol w:w="60"/>
        <w:gridCol w:w="60"/>
        <w:gridCol w:w="105"/>
        <w:gridCol w:w="1039"/>
        <w:gridCol w:w="60"/>
      </w:tblGrid>
      <w:tr>
        <w:trPr/>
        <w:tc>
          <w:tcPr>
            <w:tcW w:w="315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5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5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 </w:t>
            </w:r>
            <w:r>
              <w:rPr>
                <w:rStyle w:val="Emphasis"/>
                <w:rFonts w:ascii="Times New Roman" w:hAnsi="Times New Roman"/>
                <w:b/>
                <w:sz w:val="20"/>
              </w:rPr>
              <w:t>Longest</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vAlign w:val="center"/>
          </w:tcPr>
          <w:p>
            <w:pPr>
              <w:pStyle w:val="TableContents"/>
              <w:bidi w:val="0"/>
              <w:spacing w:before="0" w:after="0"/>
              <w:ind w:left="0" w:right="0" w:hanging="0"/>
              <w:jc w:val="left"/>
              <w:rPr/>
            </w:pPr>
            <w:r>
              <w:rPr>
                <w:rStyle w:val="Emphasis"/>
                <w:rFonts w:ascii="Times New Roman" w:hAnsi="Times New Roman"/>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ind w:left="0" w:right="0" w:hanging="0"/>
              <w:jc w:val="left"/>
              <w:rPr/>
            </w:pPr>
            <w:r>
              <w:rPr/>
              <w:t> </w:t>
            </w:r>
          </w:p>
        </w:tc>
        <w:tc>
          <w:tcPr>
            <w:tcW w:w="1190"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 Date</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government and agency securities</w:t>
            </w:r>
          </w:p>
        </w:tc>
        <w:tc>
          <w:tcPr>
            <w:tcW w:w="119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11,922</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bonds</w:t>
            </w:r>
          </w:p>
        </w:tc>
        <w:tc>
          <w:tcPr>
            <w:tcW w:w="119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10,159</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22,081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Income from these investments totaled $157 and $400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respectively. Income from these investments totaled $56 and $51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respectively. Such amounts are included as a portion of interest and investment income on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Based on the Company’s review of its debt securities that are individually in an unrealized loss position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it was determined that the losses were primarily the result current economic factors, impacting all global debt and equity markets, that are the result of global macro events. The impact of the Company’s investment portfolio is considered to be temporary, rather than a deterioration of overall credit quality.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all investments are current on their scheduled interest and dividend payments.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sell and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be required to sell these securities prior to recovering their amortized cost. As such,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 these securities to be other-than-temporarily impaired at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Trade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Trade accounts receivable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863" w:type="dxa"/>
        <w:jc w:val="left"/>
        <w:tblInd w:w="0" w:type="dxa"/>
        <w:tblLayout w:type="fixed"/>
        <w:tblCellMar>
          <w:top w:w="0" w:type="dxa"/>
          <w:left w:w="0" w:type="dxa"/>
          <w:bottom w:w="0" w:type="dxa"/>
          <w:right w:w="0" w:type="dxa"/>
        </w:tblCellMar>
      </w:tblPr>
      <w:tblGrid>
        <w:gridCol w:w="3140"/>
        <w:gridCol w:w="60"/>
        <w:gridCol w:w="444"/>
        <w:gridCol w:w="820"/>
        <w:gridCol w:w="60"/>
        <w:gridCol w:w="60"/>
        <w:gridCol w:w="429"/>
        <w:gridCol w:w="790"/>
        <w:gridCol w:w="6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Allowance for doubtful accounts</w:t>
            </w:r>
          </w:p>
        </w:tc>
        <w:tc>
          <w:tcPr>
            <w:tcW w:w="60" w:type="dxa"/>
            <w:tcBorders/>
            <w:shd w:fill="FFFFFF" w:val="clear"/>
            <w:vAlign w:val="center"/>
          </w:tcPr>
          <w:p>
            <w:pPr>
              <w:pStyle w:val="TableContents"/>
              <w:bidi w:val="0"/>
              <w:spacing w:before="0" w:after="283"/>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Trade 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Prepaid expenses and other current assets totaled $539 and $525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respectively. Included within these totals are the following:</w:t>
      </w:r>
    </w:p>
    <w:p>
      <w:pPr>
        <w:pStyle w:val="TextBody"/>
        <w:bidi w:val="0"/>
        <w:spacing w:before="0" w:after="0"/>
        <w:ind w:left="0" w:right="0" w:hanging="0"/>
        <w:jc w:val="left"/>
        <w:rPr>
          <w:caps w:val="false"/>
          <w:smallCaps w:val="false"/>
        </w:rPr>
      </w:pPr>
      <w:r>
        <w:rPr>
          <w:caps w:val="false"/>
          <w:smallCaps w:val="false"/>
        </w:rPr>
        <w:t> </w:t>
      </w:r>
    </w:p>
    <w:tbl>
      <w:tblPr>
        <w:tblW w:w="6478" w:type="dxa"/>
        <w:jc w:val="left"/>
        <w:tblInd w:w="0" w:type="dxa"/>
        <w:tblLayout w:type="fixed"/>
        <w:tblCellMar>
          <w:top w:w="0" w:type="dxa"/>
          <w:left w:w="0" w:type="dxa"/>
          <w:bottom w:w="0" w:type="dxa"/>
          <w:right w:w="0" w:type="dxa"/>
        </w:tblCellMar>
      </w:tblPr>
      <w:tblGrid>
        <w:gridCol w:w="3755"/>
        <w:gridCol w:w="60"/>
        <w:gridCol w:w="343"/>
        <w:gridCol w:w="921"/>
        <w:gridCol w:w="60"/>
        <w:gridCol w:w="60"/>
        <w:gridCol w:w="330"/>
        <w:gridCol w:w="889"/>
        <w:gridCol w:w="6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service invoices</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insurance premiums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lease costs and receivables- short term</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and other receivables</w:t>
            </w:r>
          </w:p>
        </w:tc>
        <w:tc>
          <w:tcPr>
            <w:tcW w:w="60" w:type="dxa"/>
            <w:tcBorders/>
            <w:shd w:fill="FFFFFF" w:val="clear"/>
            <w:vAlign w:val="center"/>
          </w:tcPr>
          <w:p>
            <w:pPr>
              <w:pStyle w:val="TableContents"/>
              <w:bidi w:val="0"/>
              <w:spacing w:before="0" w:after="283"/>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prepaid lease costs and receivables-short term are comprised of $16 in prepaid broker commissions that are expected to be amortized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and $5 in receivables for allocated utility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Inventory totaled $26 and $25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respectively. Included within these totals are the following:</w:t>
      </w:r>
    </w:p>
    <w:p>
      <w:pPr>
        <w:pStyle w:val="TextBody"/>
        <w:bidi w:val="0"/>
        <w:spacing w:before="0" w:after="0"/>
        <w:ind w:left="0" w:right="0" w:hanging="0"/>
        <w:jc w:val="left"/>
        <w:rPr>
          <w:caps w:val="false"/>
          <w:smallCaps w:val="false"/>
        </w:rPr>
      </w:pPr>
      <w:r>
        <w:rPr>
          <w:caps w:val="false"/>
          <w:smallCaps w:val="false"/>
        </w:rPr>
        <w:t> </w:t>
      </w:r>
    </w:p>
    <w:tbl>
      <w:tblPr>
        <w:tblW w:w="4123" w:type="dxa"/>
        <w:jc w:val="left"/>
        <w:tblInd w:w="0" w:type="dxa"/>
        <w:tblLayout w:type="fixed"/>
        <w:tblCellMar>
          <w:top w:w="0" w:type="dxa"/>
          <w:left w:w="0" w:type="dxa"/>
          <w:bottom w:w="0" w:type="dxa"/>
          <w:right w:w="0" w:type="dxa"/>
        </w:tblCellMar>
      </w:tblPr>
      <w:tblGrid>
        <w:gridCol w:w="1400"/>
        <w:gridCol w:w="60"/>
        <w:gridCol w:w="444"/>
        <w:gridCol w:w="820"/>
        <w:gridCol w:w="60"/>
        <w:gridCol w:w="60"/>
        <w:gridCol w:w="429"/>
        <w:gridCol w:w="790"/>
        <w:gridCol w:w="60"/>
      </w:tblGrid>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in progress</w:t>
            </w:r>
          </w:p>
        </w:tc>
        <w:tc>
          <w:tcPr>
            <w:tcW w:w="60" w:type="dxa"/>
            <w:tcBorders/>
            <w:shd w:fill="CCEEFF" w:val="clear"/>
            <w:vAlign w:val="center"/>
          </w:tcPr>
          <w:p>
            <w:pPr>
              <w:pStyle w:val="TableContents"/>
              <w:bidi w:val="0"/>
              <w:spacing w:before="0" w:after="283"/>
              <w:ind w:left="0" w:right="0" w:hanging="0"/>
              <w:jc w:val="left"/>
              <w:rPr/>
            </w:pPr>
            <w:r>
              <w:rPr/>
              <w:t> </w:t>
            </w:r>
          </w:p>
        </w:tc>
        <w:tc>
          <w:tcPr>
            <w:tcW w:w="4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FFFFFF" w:val="clear"/>
            <w:vAlign w:val="center"/>
          </w:tcPr>
          <w:p>
            <w:pPr>
              <w:pStyle w:val="TableContents"/>
              <w:bidi w:val="0"/>
              <w:spacing w:before="0" w:after="283"/>
              <w:jc w:val="left"/>
              <w:rPr/>
            </w:pPr>
            <w:r>
              <w:rPr/>
              <w:t> </w:t>
            </w:r>
          </w:p>
        </w:tc>
        <w:tc>
          <w:tcPr>
            <w:tcW w:w="4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consist of the following:</w:t>
      </w:r>
    </w:p>
    <w:p>
      <w:pPr>
        <w:pStyle w:val="TextBody"/>
        <w:bidi w:val="0"/>
        <w:spacing w:before="0" w:after="0"/>
        <w:ind w:left="0" w:right="0" w:hanging="0"/>
        <w:jc w:val="left"/>
        <w:rPr>
          <w:caps w:val="false"/>
          <w:smallCaps w:val="false"/>
        </w:rPr>
      </w:pPr>
      <w:r>
        <w:rPr>
          <w:caps w:val="false"/>
          <w:smallCaps w:val="false"/>
        </w:rPr>
        <w:t> </w:t>
      </w:r>
    </w:p>
    <w:tbl>
      <w:tblPr>
        <w:tblW w:w="6789" w:type="dxa"/>
        <w:jc w:val="left"/>
        <w:tblInd w:w="0" w:type="dxa"/>
        <w:tblLayout w:type="fixed"/>
        <w:tblCellMar>
          <w:top w:w="0" w:type="dxa"/>
          <w:left w:w="0" w:type="dxa"/>
          <w:bottom w:w="0" w:type="dxa"/>
          <w:right w:w="0" w:type="dxa"/>
        </w:tblCellMar>
      </w:tblPr>
      <w:tblGrid>
        <w:gridCol w:w="4025"/>
        <w:gridCol w:w="60"/>
        <w:gridCol w:w="220"/>
        <w:gridCol w:w="1045"/>
        <w:gridCol w:w="80"/>
        <w:gridCol w:w="60"/>
        <w:gridCol w:w="211"/>
        <w:gridCol w:w="1008"/>
        <w:gridCol w:w="8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 building, 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9,610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 equipment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equipment, furnishings, and improvements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11,237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25"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Total 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Depreciation expense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was $78 and $234, respectively. Depreciation expense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was $78 and $236, respectively. Such amounts were included in selling, marketing, general, and administrative expenses within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Patents and Trademarks,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Net patents and trademarks totaled $57 and $73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respectively, and primarily consisted of purchased patent rights and internally developed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Purchased patent rights represent the exclusive right to commercialize the bulk amorphous alloy and other amorphous alloy technology acquired from California Institute of Technology (“Caltech”), through a license agreement with Caltech and other institutions. All fees and other amounts payable by the Company for these rights and licenses have been paid or accrued in full,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royalties, license fees, or other amounts will be payable in the future under the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purchased and licensed patents, the Company has internally developed patents. Internally developed patents include legal and registration costs incurred to obtain the respective patents. The Company currently holds various patents and numerous pending patent applications in the United States, as well as numerous foreign counterparts to these patents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amortizes capitalized patents and trademarks over an average of 10 to 17 year periods. Amortization expense for patents and trademarks was $4 and $16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respectively. Amortization expense for patents and trademarks was $6 and $23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assets totaled $268 and $353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respectively. Included within these totals are the following:</w:t>
      </w:r>
    </w:p>
    <w:p>
      <w:pPr>
        <w:pStyle w:val="TextBody"/>
        <w:bidi w:val="0"/>
        <w:spacing w:before="0" w:after="0"/>
        <w:ind w:left="0" w:right="0" w:hanging="0"/>
        <w:jc w:val="left"/>
        <w:rPr>
          <w:caps w:val="false"/>
          <w:smallCaps w:val="false"/>
        </w:rPr>
      </w:pPr>
      <w:r>
        <w:rPr>
          <w:caps w:val="false"/>
          <w:smallCaps w:val="false"/>
        </w:rPr>
        <w:t> </w:t>
      </w:r>
    </w:p>
    <w:tbl>
      <w:tblPr>
        <w:tblW w:w="6448" w:type="dxa"/>
        <w:jc w:val="left"/>
        <w:tblInd w:w="0" w:type="dxa"/>
        <w:tblLayout w:type="fixed"/>
        <w:tblCellMar>
          <w:top w:w="0" w:type="dxa"/>
          <w:left w:w="0" w:type="dxa"/>
          <w:bottom w:w="0" w:type="dxa"/>
          <w:right w:w="0" w:type="dxa"/>
        </w:tblCellMar>
      </w:tblPr>
      <w:tblGrid>
        <w:gridCol w:w="3725"/>
        <w:gridCol w:w="60"/>
        <w:gridCol w:w="343"/>
        <w:gridCol w:w="921"/>
        <w:gridCol w:w="60"/>
        <w:gridCol w:w="60"/>
        <w:gridCol w:w="330"/>
        <w:gridCol w:w="889"/>
        <w:gridCol w:w="6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Utility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lease costs and receivables- long term</w:t>
            </w:r>
          </w:p>
        </w:tc>
        <w:tc>
          <w:tcPr>
            <w:tcW w:w="60" w:type="dxa"/>
            <w:tcBorders/>
            <w:shd w:fill="FFFFFF" w:val="clear"/>
            <w:vAlign w:val="center"/>
          </w:tcPr>
          <w:p>
            <w:pPr>
              <w:pStyle w:val="TableContents"/>
              <w:bidi w:val="0"/>
              <w:spacing w:before="0" w:after="283"/>
              <w:jc w:val="left"/>
              <w:rPr/>
            </w:pPr>
            <w:r>
              <w:rPr/>
              <w:t> </w:t>
            </w:r>
          </w:p>
        </w:tc>
        <w:tc>
          <w:tcPr>
            <w:tcW w:w="3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prepaid lease costs and receivables-long term are comprised of $16 in unamortized prepaid broker commissions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amortized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and $238 in straight-line rent accruals.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Accrued liabilities totaled $259 and $265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respectively. Included within these totals are the following:</w:t>
      </w:r>
    </w:p>
    <w:p>
      <w:pPr>
        <w:pStyle w:val="TextBody"/>
        <w:bidi w:val="0"/>
        <w:spacing w:before="0" w:after="0"/>
        <w:ind w:left="0" w:right="0" w:hanging="0"/>
        <w:jc w:val="left"/>
        <w:rPr>
          <w:caps w:val="false"/>
          <w:smallCaps w:val="false"/>
        </w:rPr>
      </w:pPr>
      <w:r>
        <w:rPr>
          <w:caps w:val="false"/>
          <w:smallCaps w:val="false"/>
        </w:rPr>
        <w:t> </w:t>
      </w:r>
    </w:p>
    <w:tbl>
      <w:tblPr>
        <w:tblW w:w="5938" w:type="dxa"/>
        <w:jc w:val="left"/>
        <w:tblInd w:w="0" w:type="dxa"/>
        <w:tblLayout w:type="fixed"/>
        <w:tblCellMar>
          <w:top w:w="0" w:type="dxa"/>
          <w:left w:w="0" w:type="dxa"/>
          <w:bottom w:w="0" w:type="dxa"/>
          <w:right w:w="0" w:type="dxa"/>
        </w:tblCellMar>
      </w:tblPr>
      <w:tblGrid>
        <w:gridCol w:w="3215"/>
        <w:gridCol w:w="60"/>
        <w:gridCol w:w="343"/>
        <w:gridCol w:w="921"/>
        <w:gridCol w:w="60"/>
        <w:gridCol w:w="60"/>
        <w:gridCol w:w="330"/>
        <w:gridCol w:w="889"/>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payroll, vacation, and bonuses</w:t>
            </w:r>
          </w:p>
        </w:tc>
        <w:tc>
          <w:tcPr>
            <w:tcW w:w="60" w:type="dxa"/>
            <w:tcBorders/>
            <w:shd w:fill="CCEEFF" w:val="clear"/>
            <w:vAlign w:val="center"/>
          </w:tcPr>
          <w:p>
            <w:pPr>
              <w:pStyle w:val="TableContents"/>
              <w:bidi w:val="0"/>
              <w:spacing w:before="0" w:after="283"/>
              <w:ind w:left="0" w:right="0" w:hanging="0"/>
              <w:jc w:val="left"/>
              <w:rPr/>
            </w:pPr>
            <w:r>
              <w:rPr/>
              <w:t> </w:t>
            </w:r>
          </w:p>
        </w:tc>
        <w:tc>
          <w:tcPr>
            <w:tcW w:w="3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severance</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audit fees</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Other Long-Term Liabilities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long-term liabilities was $902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and consisted of $859 of long-term, aged payables to vendors, individuals,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that have been outstanding for more than 5 years. Also included in the balance is $43 in tenant deposits under the Facility 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Stock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28, 2012, </w:t>
      </w:r>
      <w:r>
        <w:rPr>
          <w:rFonts w:ascii="Times New Roman" w:hAnsi="Times New Roman"/>
          <w:caps w:val="false"/>
          <w:smallCaps w:val="false"/>
          <w:sz w:val="20"/>
        </w:rPr>
        <w:t xml:space="preserve">the Company adopted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with the approval of the shareholders, which provides for the grant of stock options to officers, employees, consultants, and directors of the Company and its subsidiaries.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provides for the granting to employees of incentive stock options within the meaning of Section </w:t>
      </w:r>
      <w:r>
        <w:rPr>
          <w:rStyle w:val="Emphasis"/>
          <w:rFonts w:ascii="Times New Roman" w:hAnsi="Times New Roman"/>
          <w:caps w:val="false"/>
          <w:smallCaps w:val="false"/>
          <w:sz w:val="20"/>
        </w:rPr>
        <w:t>422</w:t>
      </w:r>
      <w:r>
        <w:rPr>
          <w:rFonts w:ascii="Times New Roman" w:hAnsi="Times New Roman"/>
          <w:caps w:val="false"/>
          <w:smallCaps w:val="false"/>
          <w:sz w:val="20"/>
        </w:rPr>
        <w:t xml:space="preserve"> of the Internal Revenue Code of </w:t>
      </w:r>
      <w:r>
        <w:rPr>
          <w:rStyle w:val="Emphasis"/>
          <w:rFonts w:ascii="Times New Roman" w:hAnsi="Times New Roman"/>
          <w:caps w:val="false"/>
          <w:smallCaps w:val="false"/>
          <w:sz w:val="20"/>
        </w:rPr>
        <w:t>1986,</w:t>
      </w:r>
      <w:r>
        <w:rPr>
          <w:rFonts w:ascii="Times New Roman" w:hAnsi="Times New Roman"/>
          <w:caps w:val="false"/>
          <w:smallCaps w:val="false"/>
          <w:sz w:val="20"/>
        </w:rPr>
        <w:t xml:space="preserve"> as amended, and for the granting to employees and consultants of non-statutory stock options. In addition, the Plan permits the granting of stock appreciation rights, or SARs, with or independently of options, as well as stock bonuses and rights to purchase restricted stock. A total of 30,000,000 shares of the Company’s common stock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under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and all options granted under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had exercise prices that were equal to the fair market value on the date of grant. Under this plan, the Company had outstanding grants of options to purchase 3,709,500 and 5,674,000 shares of the Company’s common stock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2015, </w:t>
      </w:r>
      <w:r>
        <w:rPr>
          <w:rFonts w:ascii="Times New Roman" w:hAnsi="Times New Roman"/>
          <w:caps w:val="false"/>
          <w:smallCaps w:val="false"/>
          <w:sz w:val="20"/>
        </w:rPr>
        <w:t xml:space="preserve">the Company adopted its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which provided for the grant of stock options to officers, employees, consultants, and directors of the Company and its subsidiaries. A total of 40,000,000 shares of the Company’s common stock are available for issuance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All options granted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had exercise prices that were equal to the fair market value on the dates of grant. Under this plan, the Company had outstanding grants of options to purchase 15,391,667 and 20,941,667 shares of the Company’s common stock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 based compensation expense attributable to these plans was $17 and $89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This compares to $32 and $129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Facility 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collected under the Facility Lease are comprised of base rents and reimbursements for direct facility expenses (property taxes and insurance), common area maintenance, and utilities. Amounts recorded to lease income are comprised of base rents and direct facility expenses, recorded on a straight-line basis over the lease term. Reimbursements for common area maintenance and utility expense are recorded as reductions to like expenses within sales,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future minimum rents due to the Company under the Facility Lease are as follows:</w:t>
      </w:r>
    </w:p>
    <w:p>
      <w:pPr>
        <w:pStyle w:val="TextBody"/>
        <w:bidi w:val="0"/>
        <w:spacing w:before="0" w:after="0"/>
        <w:ind w:left="0" w:right="0" w:hanging="0"/>
        <w:jc w:val="left"/>
        <w:rPr>
          <w:caps w:val="false"/>
          <w:smallCaps w:val="false"/>
        </w:rPr>
      </w:pPr>
      <w:r>
        <w:rPr>
          <w:caps w:val="false"/>
          <w:smallCaps w:val="false"/>
        </w:rPr>
        <w:t> </w:t>
      </w:r>
    </w:p>
    <w:tbl>
      <w:tblPr>
        <w:tblW w:w="3579" w:type="dxa"/>
        <w:jc w:val="left"/>
        <w:tblInd w:w="0" w:type="dxa"/>
        <w:tblLayout w:type="fixed"/>
        <w:tblCellMar>
          <w:top w:w="0" w:type="dxa"/>
          <w:left w:w="0" w:type="dxa"/>
          <w:bottom w:w="28" w:type="dxa"/>
          <w:right w:w="0" w:type="dxa"/>
        </w:tblCellMar>
      </w:tblPr>
      <w:tblGrid>
        <w:gridCol w:w="2525"/>
        <w:gridCol w:w="60"/>
        <w:gridCol w:w="252"/>
        <w:gridCol w:w="682"/>
        <w:gridCol w:w="60"/>
      </w:tblGrid>
      <w:tr>
        <w:trPr/>
        <w:tc>
          <w:tcPr>
            <w:tcW w:w="25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Base Rents</w:t>
            </w:r>
          </w:p>
        </w:tc>
        <w:tc>
          <w:tcPr>
            <w:tcW w:w="60"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2" w:type="dxa"/>
            <w:tcBorders/>
            <w:tcMar>
              <w:bottom w:w="0" w:type="dxa"/>
            </w:tcMar>
            <w:vAlign w:val="center"/>
          </w:tcPr>
          <w:p>
            <w:pPr>
              <w:pStyle w:val="TableContents"/>
              <w:bidi w:val="0"/>
              <w:spacing w:before="0" w:after="283"/>
              <w:jc w:val="left"/>
              <w:rPr/>
            </w:pPr>
            <w:r>
              <w:rPr/>
              <w:t> </w:t>
            </w:r>
          </w:p>
        </w:tc>
        <w:tc>
          <w:tcPr>
            <w:tcW w:w="6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 (remaining three months)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2"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5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ind w:left="0" w:right="0" w:hanging="0"/>
              <w:jc w:val="left"/>
              <w:rPr/>
            </w:pPr>
            <w:r>
              <w:rPr/>
              <w:t> </w:t>
            </w:r>
          </w:p>
        </w:tc>
        <w:tc>
          <w:tcPr>
            <w:tcW w:w="68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ind w:left="0" w:right="0" w:hanging="0"/>
              <w:jc w:val="left"/>
              <w:rPr/>
            </w:pPr>
            <w:r>
              <w:rPr/>
              <w:t> </w:t>
            </w:r>
          </w:p>
        </w:tc>
        <w:tc>
          <w:tcPr>
            <w:tcW w:w="68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52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ind w:left="0" w:right="0" w:hanging="0"/>
              <w:jc w:val="left"/>
              <w:rPr/>
            </w:pPr>
            <w:r>
              <w:rPr/>
              <w:t> </w:t>
            </w:r>
          </w:p>
        </w:tc>
        <w:tc>
          <w:tcPr>
            <w:tcW w:w="68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8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5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828</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Consolidated Statements of Changes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provides the Company’s changes in equity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0"/>
        <w:gridCol w:w="60"/>
        <w:gridCol w:w="317"/>
        <w:gridCol w:w="423"/>
        <w:gridCol w:w="60"/>
        <w:gridCol w:w="60"/>
        <w:gridCol w:w="60"/>
        <w:gridCol w:w="920"/>
        <w:gridCol w:w="60"/>
        <w:gridCol w:w="60"/>
        <w:gridCol w:w="203"/>
        <w:gridCol w:w="537"/>
        <w:gridCol w:w="60"/>
        <w:gridCol w:w="60"/>
        <w:gridCol w:w="148"/>
        <w:gridCol w:w="697"/>
        <w:gridCol w:w="60"/>
        <w:gridCol w:w="60"/>
        <w:gridCol w:w="130"/>
        <w:gridCol w:w="715"/>
        <w:gridCol w:w="60"/>
        <w:gridCol w:w="60"/>
        <w:gridCol w:w="147"/>
        <w:gridCol w:w="893"/>
        <w:gridCol w:w="80"/>
        <w:gridCol w:w="60"/>
        <w:gridCol w:w="293"/>
        <w:gridCol w:w="937"/>
        <w:gridCol w:w="80"/>
        <w:gridCol w:w="60"/>
        <w:gridCol w:w="269"/>
        <w:gridCol w:w="638"/>
        <w:gridCol w:w="80"/>
        <w:gridCol w:w="60"/>
        <w:gridCol w:w="110"/>
        <w:gridCol w:w="515"/>
        <w:gridCol w:w="83"/>
      </w:tblGrid>
      <w:tr>
        <w:trPr/>
        <w:tc>
          <w:tcPr>
            <w:tcW w:w="1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Preferred </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Common</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Common</w:t>
              <w:b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Warrants</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part of </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Additional</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Paid-in </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Additional</w:t>
              <w:b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Accumulated</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Accumulated Other Comprehensive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Non- </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Controlling 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p>
        </w:tc>
        <w:tc>
          <w:tcPr>
            <w:tcW w:w="83" w:type="dxa"/>
            <w:tcBorders/>
            <w:vAlign w:val="center"/>
          </w:tcPr>
          <w:p>
            <w:pPr>
              <w:pStyle w:val="TableContents"/>
              <w:bidi w:val="0"/>
              <w:spacing w:before="0" w:after="283"/>
              <w:ind w:left="0" w:right="0" w:hanging="0"/>
              <w:jc w:val="left"/>
              <w:rPr/>
            </w:pPr>
            <w:r>
              <w:rPr/>
              <w:t> </w:t>
            </w:r>
          </w:p>
        </w:tc>
      </w:tr>
      <w:tr>
        <w:trPr/>
        <w:tc>
          <w:tcPr>
            <w:tcW w:w="109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18"/>
              </w:rPr>
            </w:pPr>
            <w:r>
              <w:rPr>
                <w:rFonts w:ascii="Times New Roman" w:hAnsi="Times New Roman"/>
                <w:b/>
                <w:caps w:val="false"/>
                <w:smallCaps w:val="false"/>
                <w:sz w:val="18"/>
              </w:rPr>
              <w:t>Balance, December 31, 2022</w:t>
            </w:r>
          </w:p>
        </w:tc>
        <w:tc>
          <w:tcPr>
            <w:tcW w:w="60" w:type="dxa"/>
            <w:tcBorders/>
            <w:shd w:fill="CCEEFF" w:val="cle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288,013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(274,696</w:t>
            </w:r>
          </w:p>
        </w:tc>
        <w:tc>
          <w:tcPr>
            <w:tcW w:w="80" w:type="dxa"/>
            <w:tcBorders/>
            <w:shd w:fill="CCEEFF" w:val="clear"/>
            <w:vAlign w:val="center"/>
          </w:tcPr>
          <w:p>
            <w:pPr>
              <w:pStyle w:val="TableContents"/>
              <w:bidi w:val="0"/>
              <w:spacing w:before="0" w:after="283"/>
              <w:jc w:val="lef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(296</w:t>
            </w:r>
          </w:p>
        </w:tc>
        <w:tc>
          <w:tcPr>
            <w:tcW w:w="80" w:type="dxa"/>
            <w:tcBorders/>
            <w:shd w:fill="CCEEFF" w:val="clear"/>
            <w:vAlign w:val="center"/>
          </w:tcPr>
          <w:p>
            <w:pPr>
              <w:pStyle w:val="TableContents"/>
              <w:bidi w:val="0"/>
              <w:spacing w:before="0" w:after="283"/>
              <w:jc w:val="lef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(78</w:t>
            </w:r>
          </w:p>
        </w:tc>
        <w:tc>
          <w:tcPr>
            <w:tcW w:w="80" w:type="dxa"/>
            <w:tcBorders/>
            <w:shd w:fill="CCEEFF" w:val="clear"/>
            <w:vAlign w:val="center"/>
          </w:tcPr>
          <w:p>
            <w:pPr>
              <w:pStyle w:val="TableContents"/>
              <w:bidi w:val="0"/>
              <w:spacing w:before="0" w:after="283"/>
              <w:jc w:val="lef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32,039</w:t>
            </w:r>
          </w:p>
        </w:tc>
        <w:tc>
          <w:tcPr>
            <w:tcW w:w="83" w:type="dxa"/>
            <w:tcBorders/>
            <w:shd w:fill="CCEEFF" w:val="clear"/>
            <w:vAlign w:val="center"/>
          </w:tcPr>
          <w:p>
            <w:pPr>
              <w:pStyle w:val="TableContents"/>
              <w:bidi w:val="0"/>
              <w:spacing w:before="0" w:after="283"/>
              <w:jc w:val="left"/>
              <w:rPr/>
            </w:pPr>
            <w:r>
              <w:rPr/>
              <w:t> </w:t>
            </w:r>
          </w:p>
        </w:tc>
      </w:tr>
      <w:tr>
        <w:trPr/>
        <w:tc>
          <w:tcPr>
            <w:tcW w:w="1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10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89</w:t>
            </w:r>
          </w:p>
        </w:tc>
        <w:tc>
          <w:tcPr>
            <w:tcW w:w="83" w:type="dxa"/>
            <w:tcBorders/>
            <w:shd w:fill="CCEEFF" w:val="clear"/>
            <w:vAlign w:val="center"/>
          </w:tcPr>
          <w:p>
            <w:pPr>
              <w:pStyle w:val="TableContents"/>
              <w:bidi w:val="0"/>
              <w:spacing w:before="0" w:after="283"/>
              <w:jc w:val="left"/>
              <w:rPr/>
            </w:pPr>
            <w:r>
              <w:rPr/>
              <w:t> </w:t>
            </w:r>
          </w:p>
        </w:tc>
      </w:tr>
      <w:tr>
        <w:trPr/>
        <w:tc>
          <w:tcPr>
            <w:tcW w:w="10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(1,763</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(1,764</w:t>
            </w:r>
          </w:p>
        </w:tc>
        <w:tc>
          <w:tcPr>
            <w:tcW w:w="8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0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Other comprehensive income</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355</w:t>
            </w:r>
          </w:p>
        </w:tc>
        <w:tc>
          <w:tcPr>
            <w:tcW w:w="83" w:type="dxa"/>
            <w:tcBorders/>
            <w:shd w:fill="CCEEFF" w:val="clear"/>
            <w:vAlign w:val="center"/>
          </w:tcPr>
          <w:p>
            <w:pPr>
              <w:pStyle w:val="TableContents"/>
              <w:bidi w:val="0"/>
              <w:spacing w:before="0" w:after="283"/>
              <w:jc w:val="left"/>
              <w:rPr/>
            </w:pPr>
            <w:r>
              <w:rPr/>
              <w:t> </w:t>
            </w:r>
          </w:p>
        </w:tc>
      </w:tr>
      <w:tr>
        <w:trPr/>
        <w:tc>
          <w:tcPr>
            <w:tcW w:w="1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2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109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b/>
                <w:caps w:val="false"/>
                <w:smallCaps w:val="false"/>
                <w:sz w:val="18"/>
              </w:rPr>
              <w:t>Balance, September</w:t>
            </w:r>
            <w:r>
              <w:rPr>
                <w:rFonts w:ascii="Times New Roman" w:hAnsi="Times New Roman"/>
                <w:caps w:val="false"/>
                <w:smallCaps w:val="false"/>
                <w:sz w:val="18"/>
              </w:rPr>
              <w:t xml:space="preserve"> </w:t>
            </w:r>
            <w:r>
              <w:rPr>
                <w:rFonts w:ascii="Times New Roman" w:hAnsi="Times New Roman"/>
                <w:b/>
                <w:caps w:val="false"/>
                <w:smallCaps w:val="false"/>
                <w:sz w:val="18"/>
              </w:rPr>
              <w:t>30, 2023</w:t>
            </w:r>
          </w:p>
        </w:tc>
        <w:tc>
          <w:tcPr>
            <w:tcW w:w="60" w:type="dxa"/>
            <w:tcBorders/>
            <w:shd w:fill="CCEEFF" w:val="cle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288,102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(276,459</w:t>
            </w:r>
          </w:p>
        </w:tc>
        <w:tc>
          <w:tcPr>
            <w:tcW w:w="80" w:type="dxa"/>
            <w:tcBorders/>
            <w:shd w:fill="CCEEFF" w:val="clear"/>
            <w:vAlign w:val="center"/>
          </w:tcPr>
          <w:p>
            <w:pPr>
              <w:pStyle w:val="TableContents"/>
              <w:bidi w:val="0"/>
              <w:spacing w:before="0" w:after="283"/>
              <w:jc w:val="lef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(79</w:t>
            </w:r>
          </w:p>
        </w:tc>
        <w:tc>
          <w:tcPr>
            <w:tcW w:w="80" w:type="dxa"/>
            <w:tcBorders/>
            <w:shd w:fill="CCEEFF" w:val="clear"/>
            <w:vAlign w:val="center"/>
          </w:tcPr>
          <w:p>
            <w:pPr>
              <w:pStyle w:val="TableContents"/>
              <w:bidi w:val="0"/>
              <w:spacing w:before="0" w:after="283"/>
              <w:jc w:val="lef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30,719</w:t>
            </w:r>
          </w:p>
        </w:tc>
        <w:tc>
          <w:tcPr>
            <w:tcW w:w="83" w:type="dxa"/>
            <w:tcBorders/>
            <w:shd w:fill="CCEEFF" w:val="clear"/>
            <w:vAlign w:val="center"/>
          </w:tcPr>
          <w:p>
            <w:pPr>
              <w:pStyle w:val="TableContents"/>
              <w:bidi w:val="0"/>
              <w:spacing w:before="0" w:after="283"/>
              <w:jc w:val="left"/>
              <w:rPr/>
            </w:pPr>
            <w:r>
              <w:rPr/>
              <w:t> </w:t>
            </w:r>
          </w:p>
        </w:tc>
      </w:tr>
      <w:tr>
        <w:trPr/>
        <w:tc>
          <w:tcPr>
            <w:tcW w:w="1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provides the Company’s changes in equity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9"/>
        <w:gridCol w:w="60"/>
        <w:gridCol w:w="318"/>
        <w:gridCol w:w="424"/>
        <w:gridCol w:w="60"/>
        <w:gridCol w:w="60"/>
        <w:gridCol w:w="60"/>
        <w:gridCol w:w="920"/>
        <w:gridCol w:w="60"/>
        <w:gridCol w:w="60"/>
        <w:gridCol w:w="203"/>
        <w:gridCol w:w="537"/>
        <w:gridCol w:w="60"/>
        <w:gridCol w:w="60"/>
        <w:gridCol w:w="148"/>
        <w:gridCol w:w="697"/>
        <w:gridCol w:w="60"/>
        <w:gridCol w:w="60"/>
        <w:gridCol w:w="130"/>
        <w:gridCol w:w="715"/>
        <w:gridCol w:w="60"/>
        <w:gridCol w:w="60"/>
        <w:gridCol w:w="147"/>
        <w:gridCol w:w="893"/>
        <w:gridCol w:w="80"/>
        <w:gridCol w:w="60"/>
        <w:gridCol w:w="337"/>
        <w:gridCol w:w="891"/>
        <w:gridCol w:w="80"/>
        <w:gridCol w:w="60"/>
        <w:gridCol w:w="269"/>
        <w:gridCol w:w="638"/>
        <w:gridCol w:w="80"/>
        <w:gridCol w:w="60"/>
        <w:gridCol w:w="110"/>
        <w:gridCol w:w="515"/>
        <w:gridCol w:w="84"/>
      </w:tblGrid>
      <w:tr>
        <w:trPr/>
        <w:tc>
          <w:tcPr>
            <w:tcW w:w="10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Preferred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Common</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Common</w:t>
              <w:b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Warrants</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part of </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Additional</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Paid-in </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Additional</w:t>
              <w:b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Accumulated</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Accumulated Other Comprehensive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xml:space="preserve">Non- </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Controlling 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p>
        </w:tc>
        <w:tc>
          <w:tcPr>
            <w:tcW w:w="84" w:type="dxa"/>
            <w:tcBorders/>
            <w:vAlign w:val="center"/>
          </w:tcPr>
          <w:p>
            <w:pPr>
              <w:pStyle w:val="TableContents"/>
              <w:bidi w:val="0"/>
              <w:spacing w:before="0" w:after="283"/>
              <w:ind w:left="0" w:right="0" w:hanging="0"/>
              <w:jc w:val="left"/>
              <w:rPr/>
            </w:pPr>
            <w:r>
              <w:rPr/>
              <w:t> </w:t>
            </w:r>
          </w:p>
        </w:tc>
      </w:tr>
      <w:tr>
        <w:trPr/>
        <w:tc>
          <w:tcPr>
            <w:tcW w:w="1089"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18"/>
              </w:rPr>
            </w:pPr>
            <w:r>
              <w:rPr>
                <w:rFonts w:ascii="Times New Roman" w:hAnsi="Times New Roman"/>
                <w:b/>
                <w:caps w:val="false"/>
                <w:smallCaps w:val="false"/>
                <w:sz w:val="18"/>
              </w:rPr>
              <w:t>Balance, June</w:t>
            </w:r>
            <w:r>
              <w:rPr>
                <w:rFonts w:ascii="Times New Roman" w:hAnsi="Times New Roman"/>
                <w:caps w:val="false"/>
                <w:smallCaps w:val="false"/>
                <w:sz w:val="18"/>
              </w:rPr>
              <w:t xml:space="preserve"> </w:t>
            </w:r>
            <w:r>
              <w:rPr>
                <w:rFonts w:ascii="Times New Roman" w:hAnsi="Times New Roman"/>
                <w:b/>
                <w:caps w:val="false"/>
                <w:smallCaps w:val="false"/>
                <w:sz w:val="18"/>
              </w:rPr>
              <w:t>30, 2023</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288,085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(275,993</w:t>
            </w:r>
          </w:p>
        </w:tc>
        <w:tc>
          <w:tcPr>
            <w:tcW w:w="80" w:type="dxa"/>
            <w:tcBorders/>
            <w:shd w:fill="CCEEFF" w:val="clear"/>
            <w:vAlign w:val="center"/>
          </w:tcPr>
          <w:p>
            <w:pPr>
              <w:pStyle w:val="TableContents"/>
              <w:bidi w:val="0"/>
              <w:spacing w:before="0" w:after="283"/>
              <w:jc w:val="lef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(59</w:t>
            </w:r>
          </w:p>
        </w:tc>
        <w:tc>
          <w:tcPr>
            <w:tcW w:w="80" w:type="dxa"/>
            <w:tcBorders/>
            <w:shd w:fill="CCEEFF" w:val="clear"/>
            <w:vAlign w:val="center"/>
          </w:tcPr>
          <w:p>
            <w:pPr>
              <w:pStyle w:val="TableContents"/>
              <w:bidi w:val="0"/>
              <w:spacing w:before="0" w:after="283"/>
              <w:jc w:val="lef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(78</w:t>
            </w:r>
          </w:p>
        </w:tc>
        <w:tc>
          <w:tcPr>
            <w:tcW w:w="80" w:type="dxa"/>
            <w:tcBorders/>
            <w:shd w:fill="CCEEFF" w:val="clear"/>
            <w:vAlign w:val="center"/>
          </w:tcPr>
          <w:p>
            <w:pPr>
              <w:pStyle w:val="TableContents"/>
              <w:bidi w:val="0"/>
              <w:spacing w:before="0" w:after="283"/>
              <w:jc w:val="lef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31,051</w:t>
            </w:r>
          </w:p>
        </w:tc>
        <w:tc>
          <w:tcPr>
            <w:tcW w:w="84" w:type="dxa"/>
            <w:tcBorders/>
            <w:shd w:fill="CCEEFF" w:val="clear"/>
            <w:vAlign w:val="center"/>
          </w:tcPr>
          <w:p>
            <w:pPr>
              <w:pStyle w:val="TableContents"/>
              <w:bidi w:val="0"/>
              <w:spacing w:before="0" w:after="283"/>
              <w:jc w:val="left"/>
              <w:rPr/>
            </w:pPr>
            <w:r>
              <w:rPr/>
              <w:t> </w:t>
            </w:r>
          </w:p>
        </w:tc>
      </w:tr>
      <w:tr>
        <w:trPr/>
        <w:tc>
          <w:tcPr>
            <w:tcW w:w="1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537"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08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w:t>
            </w:r>
          </w:p>
        </w:tc>
        <w:tc>
          <w:tcPr>
            <w:tcW w:w="84" w:type="dxa"/>
            <w:tcBorders/>
            <w:shd w:fill="CCEEFF" w:val="clear"/>
            <w:vAlign w:val="center"/>
          </w:tcPr>
          <w:p>
            <w:pPr>
              <w:pStyle w:val="TableContents"/>
              <w:bidi w:val="0"/>
              <w:spacing w:before="0" w:after="283"/>
              <w:jc w:val="left"/>
              <w:rPr/>
            </w:pPr>
            <w:r>
              <w:rPr/>
              <w:t> </w:t>
            </w:r>
          </w:p>
        </w:tc>
      </w:tr>
      <w:tr>
        <w:trPr/>
        <w:tc>
          <w:tcPr>
            <w:tcW w:w="108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(466</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(467</w:t>
            </w:r>
          </w:p>
        </w:tc>
        <w:tc>
          <w:tcPr>
            <w:tcW w:w="84"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08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Other comprehensive income</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1089"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18"/>
              </w:rPr>
            </w:pPr>
            <w:r>
              <w:rPr>
                <w:rFonts w:ascii="Times New Roman" w:hAnsi="Times New Roman"/>
                <w:b/>
                <w:caps w:val="false"/>
                <w:smallCaps w:val="false"/>
                <w:sz w:val="18"/>
              </w:rPr>
              <w:t>Balance, September 30, 2023</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288,102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(276,459</w:t>
            </w:r>
          </w:p>
        </w:tc>
        <w:tc>
          <w:tcPr>
            <w:tcW w:w="80" w:type="dxa"/>
            <w:tcBorders/>
            <w:shd w:fill="CCEEFF" w:val="clear"/>
            <w:vAlign w:val="center"/>
          </w:tcPr>
          <w:p>
            <w:pPr>
              <w:pStyle w:val="TableContents"/>
              <w:bidi w:val="0"/>
              <w:spacing w:before="0" w:after="283"/>
              <w:jc w:val="lef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8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(79</w:t>
            </w:r>
          </w:p>
        </w:tc>
        <w:tc>
          <w:tcPr>
            <w:tcW w:w="80" w:type="dxa"/>
            <w:tcBorders/>
            <w:shd w:fill="CCEEFF" w:val="clear"/>
            <w:vAlign w:val="center"/>
          </w:tcPr>
          <w:p>
            <w:pPr>
              <w:pStyle w:val="TableContents"/>
              <w:bidi w:val="0"/>
              <w:spacing w:before="0" w:after="283"/>
              <w:jc w:val="left"/>
              <w:rPr>
                <w:rFonts w:ascii="Times New Roman" w:hAnsi="Times New Roman"/>
                <w:b/>
                <w:sz w:val="18"/>
              </w:rPr>
            </w:pPr>
            <w:r>
              <w:rPr>
                <w:rFonts w:ascii="Times New Roman" w:hAnsi="Times New Roman"/>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18"/>
              </w:rPr>
            </w:pPr>
            <w:r>
              <w:rPr>
                <w:rFonts w:ascii="Times New Roman" w:hAnsi="Times New Roman"/>
                <w:b/>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18"/>
              </w:rPr>
            </w:pPr>
            <w:r>
              <w:rPr>
                <w:rFonts w:ascii="Times New Roman" w:hAnsi="Times New Roman"/>
                <w:b/>
                <w:sz w:val="18"/>
              </w:rPr>
              <w:t>30,719</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The following table provides the Company’s changes in equity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4"/>
        <w:gridCol w:w="60"/>
        <w:gridCol w:w="322"/>
        <w:gridCol w:w="430"/>
        <w:gridCol w:w="60"/>
        <w:gridCol w:w="60"/>
        <w:gridCol w:w="60"/>
        <w:gridCol w:w="920"/>
        <w:gridCol w:w="60"/>
        <w:gridCol w:w="60"/>
        <w:gridCol w:w="203"/>
        <w:gridCol w:w="537"/>
        <w:gridCol w:w="60"/>
        <w:gridCol w:w="60"/>
        <w:gridCol w:w="148"/>
        <w:gridCol w:w="697"/>
        <w:gridCol w:w="60"/>
        <w:gridCol w:w="60"/>
        <w:gridCol w:w="130"/>
        <w:gridCol w:w="715"/>
        <w:gridCol w:w="60"/>
        <w:gridCol w:w="60"/>
        <w:gridCol w:w="147"/>
        <w:gridCol w:w="893"/>
        <w:gridCol w:w="80"/>
        <w:gridCol w:w="60"/>
        <w:gridCol w:w="303"/>
        <w:gridCol w:w="968"/>
        <w:gridCol w:w="80"/>
        <w:gridCol w:w="60"/>
        <w:gridCol w:w="273"/>
        <w:gridCol w:w="646"/>
        <w:gridCol w:w="80"/>
        <w:gridCol w:w="60"/>
        <w:gridCol w:w="110"/>
        <w:gridCol w:w="515"/>
        <w:gridCol w:w="84"/>
      </w:tblGrid>
      <w:tr>
        <w:trPr/>
        <w:tc>
          <w:tcPr>
            <w:tcW w:w="10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Preferred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Common</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Common</w:t>
              <w:b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Warrants</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part of</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Additional</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Paid-in </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Additional</w:t>
              <w:b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 Other Comprehensive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Non- </w:t>
            </w:r>
          </w:p>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Controlling 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84" w:type="dxa"/>
            <w:tcBorders/>
            <w:vAlign w:val="center"/>
          </w:tcPr>
          <w:p>
            <w:pPr>
              <w:pStyle w:val="TableContents"/>
              <w:bidi w:val="0"/>
              <w:spacing w:before="0" w:after="283"/>
              <w:ind w:left="0" w:right="0" w:hanging="0"/>
              <w:jc w:val="left"/>
              <w:rPr/>
            </w:pPr>
            <w:r>
              <w:rPr/>
              <w:t> </w:t>
            </w:r>
          </w:p>
        </w:tc>
      </w:tr>
      <w:tr>
        <w:trPr/>
        <w:tc>
          <w:tcPr>
            <w:tcW w:w="1024"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December 31, 2021</w:t>
            </w:r>
          </w:p>
        </w:tc>
        <w:tc>
          <w:tcPr>
            <w:tcW w:w="60"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914,449,957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287,641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(272,303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34,292</w:t>
            </w:r>
          </w:p>
        </w:tc>
        <w:tc>
          <w:tcPr>
            <w:tcW w:w="84" w:type="dxa"/>
            <w:tcBorders/>
            <w:shd w:fill="CCEEFF" w:val="clear"/>
            <w:vAlign w:val="center"/>
          </w:tcPr>
          <w:p>
            <w:pPr>
              <w:pStyle w:val="TableContents"/>
              <w:bidi w:val="0"/>
              <w:spacing w:before="0" w:after="283"/>
              <w:jc w:val="left"/>
              <w:rPr/>
            </w:pPr>
            <w:r>
              <w:rPr/>
              <w:t> </w:t>
            </w:r>
          </w:p>
        </w:tc>
      </w:tr>
      <w:tr>
        <w:trPr/>
        <w:tc>
          <w:tcPr>
            <w:tcW w:w="10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issuance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2,835,192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w:t>
            </w:r>
          </w:p>
        </w:tc>
        <w:tc>
          <w:tcPr>
            <w:tcW w:w="84" w:type="dxa"/>
            <w:tcBorders/>
            <w:shd w:fill="CCEEFF" w:val="clear"/>
            <w:vAlign w:val="center"/>
          </w:tcPr>
          <w:p>
            <w:pPr>
              <w:pStyle w:val="TableContents"/>
              <w:bidi w:val="0"/>
              <w:spacing w:before="0" w:after="283"/>
              <w:jc w:val="left"/>
              <w:rPr/>
            </w:pPr>
            <w:r>
              <w:rPr/>
              <w:t> </w:t>
            </w:r>
          </w:p>
        </w:tc>
      </w:tr>
      <w:tr>
        <w:trPr/>
        <w:tc>
          <w:tcPr>
            <w:tcW w:w="102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129</w:t>
            </w:r>
          </w:p>
        </w:tc>
        <w:tc>
          <w:tcPr>
            <w:tcW w:w="84" w:type="dxa"/>
            <w:tcBorders/>
            <w:shd w:fill="FFFFFF" w:val="clear"/>
            <w:vAlign w:val="center"/>
          </w:tcPr>
          <w:p>
            <w:pPr>
              <w:pStyle w:val="TableContents"/>
              <w:bidi w:val="0"/>
              <w:spacing w:before="0" w:after="283"/>
              <w:jc w:val="left"/>
              <w:rPr/>
            </w:pPr>
            <w:r>
              <w:rPr/>
              <w:t> </w:t>
            </w:r>
          </w:p>
        </w:tc>
      </w:tr>
      <w:tr>
        <w:trPr/>
        <w:tc>
          <w:tcPr>
            <w:tcW w:w="102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(1,852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(1,853</w:t>
            </w:r>
          </w:p>
        </w:tc>
        <w:tc>
          <w:tcPr>
            <w:tcW w:w="8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024"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loss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w:t>
            </w:r>
          </w:p>
        </w:tc>
        <w:tc>
          <w:tcPr>
            <w:tcW w:w="8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0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1024"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September 30, 2022</w:t>
            </w:r>
          </w:p>
        </w:tc>
        <w:tc>
          <w:tcPr>
            <w:tcW w:w="60"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b/>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917,285,149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7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287,979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(274,155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(409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32,433</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provides the Company’s changes in equity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4"/>
        <w:gridCol w:w="60"/>
        <w:gridCol w:w="331"/>
        <w:gridCol w:w="442"/>
        <w:gridCol w:w="60"/>
        <w:gridCol w:w="60"/>
        <w:gridCol w:w="60"/>
        <w:gridCol w:w="920"/>
        <w:gridCol w:w="60"/>
        <w:gridCol w:w="60"/>
        <w:gridCol w:w="203"/>
        <w:gridCol w:w="537"/>
        <w:gridCol w:w="60"/>
        <w:gridCol w:w="60"/>
        <w:gridCol w:w="175"/>
        <w:gridCol w:w="826"/>
        <w:gridCol w:w="60"/>
        <w:gridCol w:w="60"/>
        <w:gridCol w:w="130"/>
        <w:gridCol w:w="715"/>
        <w:gridCol w:w="60"/>
        <w:gridCol w:w="60"/>
        <w:gridCol w:w="147"/>
        <w:gridCol w:w="893"/>
        <w:gridCol w:w="80"/>
        <w:gridCol w:w="60"/>
        <w:gridCol w:w="322"/>
        <w:gridCol w:w="1029"/>
        <w:gridCol w:w="80"/>
        <w:gridCol w:w="60"/>
        <w:gridCol w:w="208"/>
        <w:gridCol w:w="494"/>
        <w:gridCol w:w="80"/>
        <w:gridCol w:w="60"/>
        <w:gridCol w:w="110"/>
        <w:gridCol w:w="515"/>
        <w:gridCol w:w="84"/>
      </w:tblGrid>
      <w:tr>
        <w:trPr/>
        <w:tc>
          <w:tcPr>
            <w:tcW w:w="9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Preferred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Common</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Common</w:t>
              <w:b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Warrants part of Additional Paid-in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Additional</w:t>
              <w:b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 Other Comprehensive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Non- Controlling 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p>
        </w:tc>
        <w:tc>
          <w:tcPr>
            <w:tcW w:w="84" w:type="dxa"/>
            <w:tcBorders/>
            <w:vAlign w:val="center"/>
          </w:tcPr>
          <w:p>
            <w:pPr>
              <w:pStyle w:val="TableContents"/>
              <w:bidi w:val="0"/>
              <w:spacing w:before="0" w:after="283"/>
              <w:ind w:left="0" w:right="0" w:hanging="0"/>
              <w:jc w:val="left"/>
              <w:rPr/>
            </w:pPr>
            <w:r>
              <w:rPr/>
              <w:t> </w:t>
            </w:r>
          </w:p>
        </w:tc>
      </w:tr>
      <w:tr>
        <w:trPr/>
        <w:tc>
          <w:tcPr>
            <w:tcW w:w="984"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June 30, 2022</w:t>
            </w:r>
          </w:p>
        </w:tc>
        <w:tc>
          <w:tcPr>
            <w:tcW w:w="60" w:type="dxa"/>
            <w:tcBorders/>
            <w:shd w:fill="CCEEFF" w:val="clear"/>
            <w:vAlign w:val="center"/>
          </w:tcPr>
          <w:p>
            <w:pPr>
              <w:pStyle w:val="TableContents"/>
              <w:bidi w:val="0"/>
              <w:spacing w:before="0" w:after="283"/>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287,947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(273,584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(347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33,034</w:t>
            </w:r>
          </w:p>
        </w:tc>
        <w:tc>
          <w:tcPr>
            <w:tcW w:w="84" w:type="dxa"/>
            <w:tcBorders/>
            <w:shd w:fill="CCEEFF" w:val="clear"/>
            <w:vAlign w:val="center"/>
          </w:tcPr>
          <w:p>
            <w:pPr>
              <w:pStyle w:val="TableContents"/>
              <w:bidi w:val="0"/>
              <w:spacing w:before="0" w:after="283"/>
              <w:jc w:val="left"/>
              <w:rPr/>
            </w:pPr>
            <w:r>
              <w:rPr/>
              <w:t> </w:t>
            </w:r>
          </w:p>
        </w:tc>
      </w:tr>
      <w:tr>
        <w:trPr/>
        <w:tc>
          <w:tcPr>
            <w:tcW w:w="9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984"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84" w:type="dxa"/>
            <w:tcBorders/>
            <w:shd w:fill="CCEEFF" w:val="clear"/>
            <w:vAlign w:val="center"/>
          </w:tcPr>
          <w:p>
            <w:pPr>
              <w:pStyle w:val="TableContents"/>
              <w:bidi w:val="0"/>
              <w:spacing w:before="0" w:after="283"/>
              <w:jc w:val="left"/>
              <w:rPr/>
            </w:pPr>
            <w:r>
              <w:rPr/>
              <w:t> </w:t>
            </w:r>
          </w:p>
        </w:tc>
      </w:tr>
      <w:tr>
        <w:trPr/>
        <w:tc>
          <w:tcPr>
            <w:tcW w:w="9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lef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(571</w:t>
            </w:r>
          </w:p>
        </w:tc>
        <w:tc>
          <w:tcPr>
            <w:tcW w:w="84"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984"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loss</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w:t>
            </w:r>
          </w:p>
        </w:tc>
        <w:tc>
          <w:tcPr>
            <w:tcW w:w="8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9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3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984"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September 30, 2022</w:t>
            </w:r>
          </w:p>
        </w:tc>
        <w:tc>
          <w:tcPr>
            <w:tcW w:w="60" w:type="dxa"/>
            <w:tcBorders/>
            <w:shd w:fill="CCEEFF" w:val="clear"/>
            <w:vAlign w:val="center"/>
          </w:tcPr>
          <w:p>
            <w:pPr>
              <w:pStyle w:val="TableContents"/>
              <w:bidi w:val="0"/>
              <w:spacing w:before="0" w:after="283"/>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287,979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(274,155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(409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32,433</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Accumulated Other Comprehensive Income (Loss) (</w:t>
      </w:r>
      <w:r>
        <w:rPr>
          <w:rFonts w:ascii="Times New Roman" w:hAnsi="Times New Roman"/>
          <w:caps w:val="false"/>
          <w:smallCaps w:val="false"/>
          <w:sz w:val="20"/>
        </w:rPr>
        <w:t>“</w:t>
      </w:r>
      <w:r>
        <w:rPr>
          <w:rFonts w:ascii="Times New Roman" w:hAnsi="Times New Roman"/>
          <w:b/>
          <w:caps w:val="false"/>
          <w:smallCaps w:val="false"/>
          <w:sz w:val="20"/>
        </w:rPr>
        <w:t>AOCI</w:t>
      </w:r>
      <w:r>
        <w:rPr>
          <w:rFonts w:ascii="Times New Roman" w:hAnsi="Times New Roman"/>
          <w:caps w:val="false"/>
          <w:smallCaps w:val="false"/>
          <w:sz w:val="20"/>
        </w:rPr>
        <w: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a summary of the changes in each component of AOCI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tbl>
      <w:tblPr>
        <w:tblW w:w="9684" w:type="dxa"/>
        <w:jc w:val="left"/>
        <w:tblInd w:w="0" w:type="dxa"/>
        <w:tblLayout w:type="fixed"/>
        <w:tblCellMar>
          <w:top w:w="0" w:type="dxa"/>
          <w:left w:w="0" w:type="dxa"/>
          <w:bottom w:w="0" w:type="dxa"/>
          <w:right w:w="0" w:type="dxa"/>
        </w:tblCellMar>
      </w:tblPr>
      <w:tblGrid>
        <w:gridCol w:w="7145"/>
        <w:gridCol w:w="60"/>
        <w:gridCol w:w="482"/>
        <w:gridCol w:w="1292"/>
        <w:gridCol w:w="80"/>
        <w:gridCol w:w="60"/>
        <w:gridCol w:w="131"/>
        <w:gridCol w:w="354"/>
        <w:gridCol w:w="80"/>
      </w:tblGrid>
      <w:tr>
        <w:trPr/>
        <w:tc>
          <w:tcPr>
            <w:tcW w:w="7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Unrealized gains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(losses) on available-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for-sale securities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income (loss), net of tax, as of June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before reclassifications</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ind w:left="0" w:right="0" w:hanging="0"/>
              <w:jc w:val="left"/>
              <w:rPr/>
            </w:pPr>
            <w:r>
              <w:rPr/>
              <w:t> </w:t>
            </w:r>
          </w:p>
        </w:tc>
        <w:tc>
          <w:tcPr>
            <w:tcW w:w="12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4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increase in other comprehensive income (loss)</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income (loss), net of tax, as of September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4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a summary of the changes in each component of AOCI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tbl>
      <w:tblPr>
        <w:tblW w:w="9720" w:type="dxa"/>
        <w:jc w:val="left"/>
        <w:tblInd w:w="0" w:type="dxa"/>
        <w:tblLayout w:type="fixed"/>
        <w:tblCellMar>
          <w:top w:w="0" w:type="dxa"/>
          <w:left w:w="0" w:type="dxa"/>
          <w:bottom w:w="0" w:type="dxa"/>
          <w:right w:w="0" w:type="dxa"/>
        </w:tblCellMar>
      </w:tblPr>
      <w:tblGrid>
        <w:gridCol w:w="7145"/>
        <w:gridCol w:w="60"/>
        <w:gridCol w:w="426"/>
        <w:gridCol w:w="1349"/>
        <w:gridCol w:w="80"/>
        <w:gridCol w:w="60"/>
        <w:gridCol w:w="125"/>
        <w:gridCol w:w="395"/>
        <w:gridCol w:w="80"/>
      </w:tblGrid>
      <w:tr>
        <w:trPr/>
        <w:tc>
          <w:tcPr>
            <w:tcW w:w="7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Unrealized gains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(losses) on available-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for-sale securities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income (loss), net of tax, as of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before reclassifications</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13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80" w:type="dxa"/>
            <w:tcBorders/>
            <w:shd w:fill="CCEEFF" w:val="clear"/>
            <w:vAlign w:val="center"/>
          </w:tcPr>
          <w:p>
            <w:pPr>
              <w:pStyle w:val="TableContents"/>
              <w:bidi w:val="0"/>
              <w:spacing w:before="0" w:after="283"/>
              <w:jc w:val="left"/>
              <w:rPr/>
            </w:pPr>
            <w:r>
              <w:rPr/>
              <w:t> </w:t>
            </w:r>
          </w:p>
        </w:tc>
      </w:tr>
      <w:tr>
        <w:trPr/>
        <w:tc>
          <w:tcPr>
            <w:tcW w:w="71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increase in other comprehensive income (loss)</w:t>
            </w:r>
          </w:p>
        </w:tc>
        <w:tc>
          <w:tcPr>
            <w:tcW w:w="60" w:type="dxa"/>
            <w:tcBorders/>
            <w:shd w:fill="CCEEFF" w:val="cle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income (loss), net of tax, as of September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a summary of the changes in each component of AOCI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2022:</w:t>
      </w:r>
    </w:p>
    <w:p>
      <w:pPr>
        <w:pStyle w:val="TextBody"/>
        <w:bidi w:val="0"/>
        <w:spacing w:before="0" w:after="0"/>
        <w:ind w:left="0" w:right="0" w:hanging="0"/>
        <w:jc w:val="left"/>
        <w:rPr>
          <w:caps w:val="false"/>
          <w:smallCaps w:val="false"/>
        </w:rPr>
      </w:pPr>
      <w:r>
        <w:rPr>
          <w:caps w:val="false"/>
          <w:smallCaps w:val="false"/>
        </w:rPr>
        <w:t> </w:t>
      </w:r>
    </w:p>
    <w:tbl>
      <w:tblPr>
        <w:tblW w:w="9720" w:type="dxa"/>
        <w:jc w:val="left"/>
        <w:tblInd w:w="0" w:type="dxa"/>
        <w:tblLayout w:type="fixed"/>
        <w:tblCellMar>
          <w:top w:w="0" w:type="dxa"/>
          <w:left w:w="0" w:type="dxa"/>
          <w:bottom w:w="0" w:type="dxa"/>
          <w:right w:w="0" w:type="dxa"/>
        </w:tblCellMar>
      </w:tblPr>
      <w:tblGrid>
        <w:gridCol w:w="7145"/>
        <w:gridCol w:w="60"/>
        <w:gridCol w:w="426"/>
        <w:gridCol w:w="1349"/>
        <w:gridCol w:w="80"/>
        <w:gridCol w:w="60"/>
        <w:gridCol w:w="125"/>
        <w:gridCol w:w="395"/>
        <w:gridCol w:w="80"/>
      </w:tblGrid>
      <w:tr>
        <w:trPr/>
        <w:tc>
          <w:tcPr>
            <w:tcW w:w="7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Unrealized gains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(losses) on available-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for-sale securities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income (loss), net of tax, as of June 30, 2022</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 before reclassifications</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13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increase in other comprehensive income (loss)</w:t>
            </w:r>
          </w:p>
        </w:tc>
        <w:tc>
          <w:tcPr>
            <w:tcW w:w="60" w:type="dxa"/>
            <w:tcBorders/>
            <w:shd w:fill="CCEEFF" w:val="cle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income (loss), net of tax, as of September 30, 2022</w:t>
            </w:r>
          </w:p>
        </w:tc>
        <w:tc>
          <w:tcPr>
            <w:tcW w:w="60" w:type="dxa"/>
            <w:tcBorders/>
            <w:shd w:fill="FFFFFF" w:val="clear"/>
            <w:vAlign w:val="center"/>
          </w:tcPr>
          <w:p>
            <w:pPr>
              <w:pStyle w:val="TableContents"/>
              <w:bidi w:val="0"/>
              <w:spacing w:before="0" w:after="283"/>
              <w:ind w:left="0" w:right="0" w:hanging="0"/>
              <w:jc w:val="left"/>
              <w:rPr/>
            </w:pPr>
            <w:r>
              <w:rPr/>
              <w:t> </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a summary of the changes in each component of AOCI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2022:</w:t>
      </w:r>
    </w:p>
    <w:p>
      <w:pPr>
        <w:pStyle w:val="TextBody"/>
        <w:bidi w:val="0"/>
        <w:spacing w:before="0" w:after="0"/>
        <w:ind w:left="0" w:right="0" w:hanging="0"/>
        <w:jc w:val="left"/>
        <w:rPr>
          <w:caps w:val="false"/>
          <w:smallCaps w:val="false"/>
        </w:rPr>
      </w:pPr>
      <w:r>
        <w:rPr>
          <w:caps w:val="false"/>
          <w:smallCaps w:val="false"/>
        </w:rPr>
        <w:t> </w:t>
      </w:r>
    </w:p>
    <w:tbl>
      <w:tblPr>
        <w:tblW w:w="9720" w:type="dxa"/>
        <w:jc w:val="left"/>
        <w:tblInd w:w="0" w:type="dxa"/>
        <w:tblLayout w:type="fixed"/>
        <w:tblCellMar>
          <w:top w:w="0" w:type="dxa"/>
          <w:left w:w="0" w:type="dxa"/>
          <w:bottom w:w="0" w:type="dxa"/>
          <w:right w:w="0" w:type="dxa"/>
        </w:tblCellMar>
      </w:tblPr>
      <w:tblGrid>
        <w:gridCol w:w="7145"/>
        <w:gridCol w:w="60"/>
        <w:gridCol w:w="426"/>
        <w:gridCol w:w="1349"/>
        <w:gridCol w:w="80"/>
        <w:gridCol w:w="60"/>
        <w:gridCol w:w="125"/>
        <w:gridCol w:w="395"/>
        <w:gridCol w:w="80"/>
      </w:tblGrid>
      <w:tr>
        <w:trPr/>
        <w:tc>
          <w:tcPr>
            <w:tcW w:w="7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Unrealized gains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(losses) on available-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for-sale securities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income (loss), net of tax, as of December 31, 2021</w:t>
            </w:r>
          </w:p>
        </w:tc>
        <w:tc>
          <w:tcPr>
            <w:tcW w:w="60"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 before reclassifications</w:t>
            </w:r>
          </w:p>
        </w:tc>
        <w:tc>
          <w:tcPr>
            <w:tcW w:w="6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ind w:left="0" w:right="0" w:hanging="0"/>
              <w:jc w:val="left"/>
              <w:rPr/>
            </w:pPr>
            <w:r>
              <w:rPr/>
              <w:t> </w:t>
            </w:r>
          </w:p>
        </w:tc>
        <w:tc>
          <w:tcPr>
            <w:tcW w:w="13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71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increase in other comprehensive income (loss)</w:t>
            </w:r>
          </w:p>
        </w:tc>
        <w:tc>
          <w:tcPr>
            <w:tcW w:w="60" w:type="dxa"/>
            <w:tcBorders/>
            <w:shd w:fill="CCEEFF" w:val="clear"/>
            <w:vAlign w:val="center"/>
          </w:tcPr>
          <w:p>
            <w:pPr>
              <w:pStyle w:val="TableContents"/>
              <w:bidi w:val="0"/>
              <w:spacing w:before="0" w:after="283"/>
              <w:jc w:val="left"/>
              <w:rPr/>
            </w:pPr>
            <w:r>
              <w:rPr/>
              <w:t> </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income (loss), net of tax, as of September 30, 2022</w:t>
            </w:r>
          </w:p>
        </w:tc>
        <w:tc>
          <w:tcPr>
            <w:tcW w:w="60" w:type="dxa"/>
            <w:tcBorders/>
            <w:shd w:fill="FFFFFF" w:val="clear"/>
            <w:vAlign w:val="center"/>
          </w:tcPr>
          <w:p>
            <w:pPr>
              <w:pStyle w:val="TableContents"/>
              <w:bidi w:val="0"/>
              <w:spacing w:before="0" w:after="283"/>
              <w:ind w:left="0" w:right="0" w:hanging="0"/>
              <w:jc w:val="left"/>
              <w:rPr/>
            </w:pPr>
            <w:r>
              <w:rPr/>
              <w:t> </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share (“EPS”) is computed by dividing earnings (loss) attributable to common shareholders by the weighted average number of common shares outstanding for the applicable period. Diluted EPS reflects the potential dilution of securities that could share in the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Options to purchase 19,101,167 shares of common stock, at prices ranging from $0.07 to $0.38 per share, were outstanding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 Warrants to purchase 10,066,809 shares of common stock, with a price of $0.07 per share, outstanding at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Options to purchase 26,615,667 shares of common stock, at prices ranging from $0.07 to $0.38 per share, were outstanding at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 xml:space="preserve">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 Warrants to purchase 10,066,809 shares of common stock, with a price of $0.07 per share, outstanding at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 xml:space="preserve">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18.</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10, 2016, </w:t>
      </w:r>
      <w:r>
        <w:rPr>
          <w:rFonts w:ascii="Times New Roman" w:hAnsi="Times New Roman"/>
          <w:caps w:val="false"/>
          <w:smallCaps w:val="false"/>
          <w:sz w:val="20"/>
        </w:rPr>
        <w:t xml:space="preserve">the Company entered into a Securities Purchase Agreement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with Liquidmetal Technology Limited, a Hong Kong company (the “Investor”), which is controlled by the Company’s Chairman, Professor Li.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provided for the purchase by the Investor of a total of 405,000,000 shares of the Company’s common stock for an aggregate purchase price of $63,400. In relation to the foregoing investment, the Company issued to the Investor a warrant to acquire 10,066,809 shares of common stock at an exercise price of $0.07 per share. The warrant will expire on the </w:t>
      </w:r>
      <w:r>
        <w:rPr>
          <w:rStyle w:val="Emphasis"/>
          <w:rFonts w:ascii="Times New Roman" w:hAnsi="Times New Roman"/>
          <w:caps w:val="false"/>
          <w:smallCaps w:val="false"/>
          <w:sz w:val="20"/>
        </w:rPr>
        <w:t>tenth</w:t>
      </w:r>
      <w:r>
        <w:rPr>
          <w:rFonts w:ascii="Times New Roman" w:hAnsi="Times New Roman"/>
          <w:caps w:val="false"/>
          <w:smallCaps w:val="false"/>
          <w:sz w:val="20"/>
        </w:rPr>
        <w:t xml:space="preserve"> anniversary of its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2016, </w:t>
      </w: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Purchase Agreement, the Company and Eontec, entered into a cross-license agreement to share their respective technologies. Eontec is a publicly held Hong Kong corporation of which Professor Li is the Chairman and major shareholder. Eontec is also an affiliate of Yihao. Yihao is currently the Company’s primary outsourced manufacturer. As of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Professor Li is a greater-than 5% beneficial owner of the Company and serves as the Company’s Chairman. Equipment and services procured from Eontec through its affiliate Yihao were $85 and $163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respectively. Equipment and services procured from Eontec through its affiliate Yihao were $10 and $165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10, 2022, </w:t>
      </w:r>
      <w:r>
        <w:rPr>
          <w:rFonts w:ascii="Times New Roman" w:hAnsi="Times New Roman"/>
          <w:caps w:val="false"/>
          <w:smallCaps w:val="false"/>
          <w:sz w:val="20"/>
        </w:rPr>
        <w:t xml:space="preserve">Mr. Abdi Mahamedi resigned as a director of the Company. Mr. Mahamedi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resign because of any disagreement with the Company on any matter relating to the Company’s operations, policies or practices. In connection with Mr. Mahamedi’s resignation, the Board of Directors of the Company approved an amendment to Mr. Mahamedi’s previously granted options to purchase an aggregate of 1,870,000 shares of Company common stock to provide for the extension of the exercise period of the options through </w:t>
      </w:r>
      <w:r>
        <w:rPr>
          <w:rStyle w:val="Emphasis"/>
          <w:rFonts w:ascii="Times New Roman" w:hAnsi="Times New Roman"/>
          <w:caps w:val="false"/>
          <w:smallCaps w:val="false"/>
          <w:sz w:val="20"/>
        </w:rPr>
        <w:t>May 10,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Upon Mr. Mahamedi’s resignation as a director, the Company entered into a Consulting Agreement, dated </w:t>
      </w:r>
      <w:r>
        <w:rPr>
          <w:rStyle w:val="Emphasis"/>
          <w:rFonts w:ascii="Times New Roman" w:hAnsi="Times New Roman"/>
          <w:caps w:val="false"/>
          <w:smallCaps w:val="false"/>
          <w:sz w:val="20"/>
        </w:rPr>
        <w:t xml:space="preserve">May 10, 2022, </w:t>
      </w:r>
      <w:r>
        <w:rPr>
          <w:rFonts w:ascii="Times New Roman" w:hAnsi="Times New Roman"/>
          <w:caps w:val="false"/>
          <w:smallCaps w:val="false"/>
          <w:sz w:val="20"/>
        </w:rPr>
        <w:t xml:space="preserve">with Rosewood LLC pursuant to which Mr. Mahamedi as the owner of Rosewood LLC will assess and present business opportunities for the licensing and sublicensing of the Company’s technology. Mr. Mahamedi will also provide business development services and perform other special projects as requested by the Company. The Consulting Agreement has a term of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years, subject to the right of the Company or Mr. Mahamedi to terminate the agreement at any time after </w:t>
      </w:r>
      <w:r>
        <w:rPr>
          <w:rStyle w:val="Emphasis"/>
          <w:rFonts w:ascii="Times New Roman" w:hAnsi="Times New Roman"/>
          <w:caps w:val="false"/>
          <w:smallCaps w:val="false"/>
          <w:sz w:val="20"/>
        </w:rPr>
        <w:t xml:space="preserve">December 1, 2022 </w:t>
      </w:r>
      <w:r>
        <w:rPr>
          <w:rFonts w:ascii="Times New Roman" w:hAnsi="Times New Roman"/>
          <w:caps w:val="false"/>
          <w:smallCaps w:val="false"/>
          <w:sz w:val="20"/>
        </w:rPr>
        <w:t xml:space="preserve">and subject to certain other early-termination rights. As sole consideration for the Consulting Agreement, the Company granted to Mr. Mahamedi an option to purchase up to 2.0 million shares of Company common stock at an exercise price of the closing market price of the Company’s common stock on </w:t>
      </w:r>
      <w:r>
        <w:rPr>
          <w:rStyle w:val="Emphasis"/>
          <w:rFonts w:ascii="Times New Roman" w:hAnsi="Times New Roman"/>
          <w:caps w:val="false"/>
          <w:smallCaps w:val="false"/>
          <w:sz w:val="20"/>
        </w:rPr>
        <w:t xml:space="preserve">May 10, 2022 </w:t>
      </w:r>
      <w:r>
        <w:rPr>
          <w:rFonts w:ascii="Times New Roman" w:hAnsi="Times New Roman"/>
          <w:caps w:val="false"/>
          <w:smallCaps w:val="false"/>
          <w:sz w:val="20"/>
        </w:rPr>
        <w:t xml:space="preserve">that will vest 33%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grant date and the remainder vesting monthly over the ensuing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provided that Mr. Mahamedi continues to be engaged as a consultant on each such vesting date. The options have a term of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0" w:name="item2"/>
      <w:bookmarkEnd w:id="10"/>
      <w:r>
        <w:rPr>
          <w:rFonts w:ascii="Times New Roman" w:hAnsi="Times New Roman"/>
          <w:b/>
          <w:caps w:val="false"/>
          <w:smallCaps w:val="false"/>
          <w:sz w:val="20"/>
        </w:rPr>
        <w:t xml:space="preserve">Item 2 </w:t>
      </w:r>
      <w:r>
        <w:rPr>
          <w:rFonts w:ascii="Times New Roman" w:hAnsi="Times New Roman"/>
          <w:caps w:val="false"/>
          <w:smallCaps w:val="false"/>
          <w:sz w:val="20"/>
        </w:rPr>
        <w:t xml:space="preserve">–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should be read in conjunction with the consolidated financial statements and notes included elsewhere in this Quarterly Report on Form</w:t>
      </w:r>
      <w:r>
        <w:rPr>
          <w:rFonts w:ascii="Times New Roman" w:hAnsi="Times New Roman"/>
          <w:caps w:val="false"/>
          <w:smallCaps w:val="false"/>
          <w:sz w:val="20"/>
        </w:rPr>
        <w:t> </w:t>
      </w:r>
      <w:r>
        <w:rPr>
          <w:rFonts w:ascii="Times New Roman" w:hAnsi="Times New Roman"/>
          <w:i/>
          <w:caps w:val="false"/>
          <w:smallCaps w:val="false"/>
          <w:sz w:val="20"/>
        </w:rPr>
        <w:t>10-Q. All amounts described in this section are in thousands, except percentages, periods of time, and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as well as other sections of this Quarterly Report on Form</w:t>
      </w:r>
      <w:r>
        <w:rPr>
          <w:rFonts w:ascii="Times New Roman" w:hAnsi="Times New Roman"/>
          <w:caps w:val="false"/>
          <w:smallCaps w:val="false"/>
          <w:sz w:val="20"/>
        </w:rPr>
        <w:t> </w:t>
      </w:r>
      <w:r>
        <w:rPr>
          <w:rFonts w:ascii="Times New Roman" w:hAnsi="Times New Roman"/>
          <w:i/>
          <w:caps w:val="false"/>
          <w:smallCaps w:val="false"/>
          <w:sz w:val="20"/>
        </w:rPr>
        <w:t xml:space="preserve">10-Q, may contain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w:t>
      </w:r>
      <w:r>
        <w:rPr>
          <w:rFonts w:ascii="Times New Roman" w:hAnsi="Times New Roman"/>
          <w:caps w:val="false"/>
          <w:smallCaps w:val="false"/>
          <w:sz w:val="20"/>
        </w:rPr>
        <w:t>“</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project,</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similar words or expressions identify forward-looking statements. These statements 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in Part II herein, under the heading </w:t>
      </w:r>
      <w:r>
        <w:rPr>
          <w:rFonts w:ascii="Times New Roman" w:hAnsi="Times New Roman"/>
          <w:caps w:val="false"/>
          <w:smallCaps w:val="false"/>
          <w:sz w:val="20"/>
        </w:rPr>
        <w:t>“</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w:t>
      </w:r>
      <w:r>
        <w:rPr>
          <w:rFonts w:ascii="Times New Roman" w:hAnsi="Times New Roman"/>
          <w:i/>
          <w:caps w:val="false"/>
          <w:smallCaps w:val="false"/>
          <w:sz w:val="20"/>
        </w:rPr>
        <w:t>in our Annual Report on Form 10-K for the fiscal year ended December 31, 2022 and other risks and uncertainties discussed in other filings made with the Securities and Exchange Commission (including risks described in subsequent reports on Form</w:t>
      </w:r>
      <w:r>
        <w:rPr>
          <w:rFonts w:ascii="Times New Roman" w:hAnsi="Times New Roman"/>
          <w:caps w:val="false"/>
          <w:smallCaps w:val="false"/>
          <w:sz w:val="20"/>
        </w:rPr>
        <w:t> </w:t>
      </w:r>
      <w:r>
        <w:rPr>
          <w:rFonts w:ascii="Times New Roman" w:hAnsi="Times New Roman"/>
          <w:i/>
          <w:caps w:val="false"/>
          <w:smallCaps w:val="false"/>
          <w:sz w:val="20"/>
        </w:rPr>
        <w:t>10-Q and Form</w:t>
      </w:r>
      <w:r>
        <w:rPr>
          <w:rFonts w:ascii="Times New Roman" w:hAnsi="Times New Roman"/>
          <w:caps w:val="false"/>
          <w:smallCaps w:val="false"/>
          <w:sz w:val="20"/>
        </w:rPr>
        <w:t> </w:t>
      </w:r>
      <w:r>
        <w:rPr>
          <w:rFonts w:ascii="Times New Roman" w:hAnsi="Times New Roman"/>
          <w:i/>
          <w:caps w:val="false"/>
          <w:smallCaps w:val="false"/>
          <w:sz w:val="20"/>
        </w:rPr>
        <w:t>8-K and other filings). We disclaim any intention or obligation, other than as required by applicable law,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materials technology company that develops and commercializes products made from amorphous alloys. Our Liquidmetal® family of alloys consists of a variety of proprietary bulk alloys and composites that utilize the advantages offered by amorphous alloy technology. We design, develop, and sell custom products and parts from bulk amorphous alloys to customers in various industries. We also partner with third-party manufacturers and licensees to develop and commercialize Liquidmetal alloy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we believe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We believe the alloys and the molding technologies we employ can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All of these characteristics are achievable from the molding process, so design engineers often do not have to select specific alloys to achieve one or more of the characteristics as is the case with crystalline materials. We believe these advantages could result in Liquidmetal alloys supplanting high-performance alloys, such as titanium and stainless steel, and other incumbent materials in a wide variety of applications. Moreover, we believe these advantages could enable the introduction of entirely new products and applications that are not possible or commercially viable with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Licensing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we entered into a Parallel License Agreement (the “License Agreement”) with DongGuan Eontec Co., Ltd., a Hong Kong corporation (“Eontec”) pursuant to which the parties agreed to cross-license certain patents, technical information, and trademarks between us and Eontec. In particular, we granted to Eontec a paid-up, royalty-free, perpetual license to our patents and related technical information to make, have made, use, offer to sell, sell, export, and import products in certain geographic areas outside of North America and Europe, and Eontec granted to us a paid-up, royalty-free, perpetual license to Eontec’s patents and related technical information to make, have made, use, offer to sell, sell, export, and import products in certain geographic areas outside of specified countries in Asia. The license granted by us to Eontec is exclusive (including to the exclusion of us) in the countries of Brunei, Cambodia, China (P.R.C and R.O.C.), East Timor, Indonesia, Japan, Laos, Malaysia, Myanmar, Philippines, Singapore, South Korea, Thailand, and Vietnam. The license granted by Eontec to us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Beyond the License Agreement, we collaborate with Eontec and its affiliate Yihao to accelerate the commercialization of amorphous alloy technology. This includes but is not limited to developing technologies to reduce the cost of amorphous alloys, working on die cast machine technology platforms to pursue broader markets, sharing knowledge to broaden our intellectual property portfolio, and utilizing Yihao’s volume production capabilities as a third party contract manufacturer.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Eutectix Business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31, 2020, we entered into a Business Development Agreement (the “Agreement”) with Eutectix, LLC, a Delaware limited liability company (“Eutectix”), which provides for collaboration, joint development efforts, and the manufacturing of products based on our proprietary amorphous metal alloys. Under the Agreement and amendments thereof, we licensed to Eutectix specified equipment owned by us, including two injection molding machines, two diecasting machines, and other machines and equipment, all of which will be used to make product for Company customers and Eutectix customers. We have also licensed to Eutectix various patents and technical information related to our proprietary technology. Under the Agreement, Eutectix will pay us a royalty of six percent (6%) of the net sales price of licensed products sold by Eutectix, and Eutectix will also manufacture products for us. The Agreement has a term of five years, subject to renewal provisions and the ability of either party to terminate earlier upon specified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5, 2010, we entered into a license transaction with Apple pursuant to which (i) we contributed substantially all of our intellectual property assets to a newly organized special-purpose, wholly-owned subsidiary, called Crucible Intellectual Property, LLC (“CIP”), (ii) CIP granted to Apple a perpetual, worldwide, fully-paid, exclusive license to commercialize such intellectual property in the field of consumer electronic products, as defined in the license agreement, in exchange for a license fee, and (iii) CIP granted back to us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agreements relating to the license transaction with Apple, we were obligated to contribute, to CIP, all intellectual property developed by us through February 2016. We are also obligated to maintain certain limited liability company formalities with respect to CIP at all times after the closing of the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Other Material License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13, 2022, our majority owned subsidiary, Liquidmetal Golf (“LMG”), entered into a sublicense agreement (“LMG Sublicense Agreement”) with Amorphous Technologies Japan, Inc. (“ATJ”), a newly formed Japanese entity that was established by Twins Corporation, a sporting goods company operating in Japan. Under the agreement, LMG granted to ATJ a nonexclusive worldwide sublicense to our amorphous alloy technology and related trademarks to manufacture and sell golf clubs and golf related products. The LMG Sublicense Agreement has a term of three years and provides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2009, we entered into a license agreement with Swatch Group, Ltd. (“Swatch”) under which Swatch was granted a non-exclusive license to our technology to produce and market watches and certain other luxury products. In March 2011, this license agreement was amended to grant Swatch exclusive rights as to watches and all third parties (including us), but non-exclusive as to Apple. We will receive royalty payments over the life of the contract on all Liquidmetal products produced and sold by Swatch. The license agreement with Swatch will expire on the expiration date of the last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consolidated financial statements in conformity with accounting principles generally accepted in the United States requires us to make estimates and assumptions that affect reported amounts of assets and liabilities and disclosure of contingent assets and liabilities at the date of the financial statements and the reported amounts of revenues and expenses during the reporting period. These estimates and assumptions are based on historical experience and various other factors that are believed to be reasonable under the circumstances. Actual results could differ materially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following accounting policies are the most critical to our consolidated financial statements since these policies require significant judgment or involve complex estimates that are important to the portrayal of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60"/>
        <w:gridCol w:w="110"/>
        <w:gridCol w:w="50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long-lived assets and definite-lived intangibles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Annual Report on Form 10-K for the year ended December 31, 2022 (the “2022 Annual Report”) contains further discussions on our 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Comparison of the three and nine months ended September 30, 2023 and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33"/>
        <w:gridCol w:w="60"/>
        <w:gridCol w:w="165"/>
        <w:gridCol w:w="522"/>
        <w:gridCol w:w="105"/>
        <w:gridCol w:w="84"/>
        <w:gridCol w:w="471"/>
        <w:gridCol w:w="244"/>
        <w:gridCol w:w="79"/>
        <w:gridCol w:w="165"/>
        <w:gridCol w:w="522"/>
        <w:gridCol w:w="105"/>
        <w:gridCol w:w="84"/>
        <w:gridCol w:w="588"/>
        <w:gridCol w:w="244"/>
        <w:gridCol w:w="60"/>
        <w:gridCol w:w="147"/>
        <w:gridCol w:w="645"/>
        <w:gridCol w:w="94"/>
        <w:gridCol w:w="74"/>
        <w:gridCol w:w="529"/>
        <w:gridCol w:w="219"/>
        <w:gridCol w:w="71"/>
        <w:gridCol w:w="147"/>
        <w:gridCol w:w="645"/>
        <w:gridCol w:w="94"/>
        <w:gridCol w:w="76"/>
        <w:gridCol w:w="427"/>
        <w:gridCol w:w="237"/>
        <w:gridCol w:w="69"/>
      </w:tblGrid>
      <w:tr>
        <w:trPr/>
        <w:tc>
          <w:tcPr>
            <w:tcW w:w="3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7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 September 30,</w:t>
            </w:r>
          </w:p>
        </w:tc>
        <w:tc>
          <w:tcPr>
            <w:tcW w:w="60" w:type="dxa"/>
            <w:tcBorders/>
            <w:vAlign w:val="center"/>
          </w:tcPr>
          <w:p>
            <w:pPr>
              <w:pStyle w:val="TableContents"/>
              <w:bidi w:val="0"/>
              <w:spacing w:before="0" w:after="283"/>
              <w:ind w:left="0" w:right="0" w:hanging="0"/>
              <w:jc w:val="left"/>
              <w:rPr/>
            </w:pPr>
            <w:r>
              <w:rPr/>
              <w:t> </w:t>
            </w:r>
          </w:p>
        </w:tc>
        <w:tc>
          <w:tcPr>
            <w:tcW w:w="3405"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nine months ended September 30,</w:t>
            </w:r>
          </w:p>
        </w:tc>
        <w:tc>
          <w:tcPr>
            <w:tcW w:w="69" w:type="dxa"/>
            <w:tcBorders/>
            <w:vAlign w:val="center"/>
          </w:tcPr>
          <w:p>
            <w:pPr>
              <w:pStyle w:val="TableContents"/>
              <w:bidi w:val="0"/>
              <w:spacing w:before="0" w:after="283"/>
              <w:jc w:val="left"/>
              <w:rPr/>
            </w:pPr>
            <w:r>
              <w:rPr/>
              <w:t> </w:t>
            </w:r>
          </w:p>
        </w:tc>
      </w:tr>
      <w:tr>
        <w:trPr/>
        <w:tc>
          <w:tcPr>
            <w:tcW w:w="3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 of   </w:t>
            </w:r>
          </w:p>
        </w:tc>
        <w:tc>
          <w:tcPr>
            <w:tcW w:w="79" w:type="dxa"/>
            <w:tcBorders/>
            <w:vAlign w:val="center"/>
          </w:tcPr>
          <w:p>
            <w:pPr>
              <w:pStyle w:val="TableContents"/>
              <w:bidi w:val="0"/>
              <w:spacing w:before="0" w:after="283"/>
              <w:ind w:left="0" w:right="0" w:hanging="0"/>
              <w:jc w:val="left"/>
              <w:rPr/>
            </w:pPr>
            <w:r>
              <w:rPr/>
              <w:t> </w:t>
            </w:r>
          </w:p>
        </w:tc>
        <w:tc>
          <w:tcPr>
            <w:tcW w:w="6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05" w:type="dxa"/>
            <w:tcBorders/>
            <w:vAlign w:val="center"/>
          </w:tcPr>
          <w:p>
            <w:pPr>
              <w:pStyle w:val="TableContents"/>
              <w:bidi w:val="0"/>
              <w:spacing w:before="0" w:after="283"/>
              <w:jc w:val="left"/>
              <w:rPr/>
            </w:pPr>
            <w:r>
              <w:rPr/>
              <w:t> </w:t>
            </w:r>
          </w:p>
        </w:tc>
        <w:tc>
          <w:tcPr>
            <w:tcW w:w="916" w:type="dxa"/>
            <w:gridSpan w:val="3"/>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 of</w:t>
            </w:r>
          </w:p>
        </w:tc>
        <w:tc>
          <w:tcPr>
            <w:tcW w:w="60" w:type="dxa"/>
            <w:tcBorders/>
            <w:vAlign w:val="center"/>
          </w:tcPr>
          <w:p>
            <w:pPr>
              <w:pStyle w:val="TableContents"/>
              <w:bidi w:val="0"/>
              <w:spacing w:before="0" w:after="283"/>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4" w:type="dxa"/>
            <w:tcBorders/>
            <w:vAlign w:val="center"/>
          </w:tcPr>
          <w:p>
            <w:pPr>
              <w:pStyle w:val="TableContents"/>
              <w:bidi w:val="0"/>
              <w:spacing w:before="0" w:after="283"/>
              <w:jc w:val="left"/>
              <w:rPr/>
            </w:pPr>
            <w:r>
              <w:rPr/>
              <w:t> </w:t>
            </w:r>
          </w:p>
        </w:tc>
        <w:tc>
          <w:tcPr>
            <w:tcW w:w="822" w:type="dxa"/>
            <w:gridSpan w:val="3"/>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 of</w:t>
            </w:r>
          </w:p>
        </w:tc>
        <w:tc>
          <w:tcPr>
            <w:tcW w:w="71" w:type="dxa"/>
            <w:tcBorders/>
            <w:vAlign w:val="center"/>
          </w:tcPr>
          <w:p>
            <w:pPr>
              <w:pStyle w:val="TableContents"/>
              <w:bidi w:val="0"/>
              <w:spacing w:before="0" w:after="283"/>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94" w:type="dxa"/>
            <w:tcBorders/>
            <w:vAlign w:val="center"/>
          </w:tcPr>
          <w:p>
            <w:pPr>
              <w:pStyle w:val="TableContents"/>
              <w:bidi w:val="0"/>
              <w:spacing w:before="0" w:after="283"/>
              <w:jc w:val="left"/>
              <w:rPr/>
            </w:pPr>
            <w:r>
              <w:rPr/>
              <w:t> </w:t>
            </w:r>
          </w:p>
        </w:tc>
        <w:tc>
          <w:tcPr>
            <w:tcW w:w="740" w:type="dxa"/>
            <w:gridSpan w:val="3"/>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 of</w:t>
            </w:r>
          </w:p>
        </w:tc>
        <w:tc>
          <w:tcPr>
            <w:tcW w:w="69" w:type="dxa"/>
            <w:tcBorders/>
            <w:vAlign w:val="center"/>
          </w:tcPr>
          <w:p>
            <w:pPr>
              <w:pStyle w:val="TableContents"/>
              <w:bidi w:val="0"/>
              <w:spacing w:before="0" w:after="283"/>
              <w:jc w:val="left"/>
              <w:rPr/>
            </w:pPr>
            <w:r>
              <w:rPr/>
              <w:t> </w:t>
            </w:r>
          </w:p>
        </w:tc>
      </w:tr>
      <w:tr>
        <w:trPr/>
        <w:tc>
          <w:tcPr>
            <w:tcW w:w="3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000's</w:t>
            </w:r>
          </w:p>
        </w:tc>
        <w:tc>
          <w:tcPr>
            <w:tcW w:w="10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9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79" w:type="dxa"/>
            <w:tcBorders/>
            <w:vAlign w:val="center"/>
          </w:tcPr>
          <w:p>
            <w:pPr>
              <w:pStyle w:val="TableContents"/>
              <w:bidi w:val="0"/>
              <w:spacing w:before="0" w:after="283"/>
              <w:ind w:left="0" w:right="0" w:hanging="0"/>
              <w:jc w:val="left"/>
              <w:rPr/>
            </w:pPr>
            <w:r>
              <w:rPr/>
              <w:t> </w:t>
            </w:r>
          </w:p>
        </w:tc>
        <w:tc>
          <w:tcPr>
            <w:tcW w:w="6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000's</w:t>
            </w:r>
          </w:p>
        </w:tc>
        <w:tc>
          <w:tcPr>
            <w:tcW w:w="10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vAlign w:val="center"/>
          </w:tcPr>
          <w:p>
            <w:pPr>
              <w:pStyle w:val="TableContents"/>
              <w:bidi w:val="0"/>
              <w:spacing w:before="0" w:after="283"/>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000's</w:t>
            </w:r>
          </w:p>
        </w:tc>
        <w:tc>
          <w:tcPr>
            <w:tcW w:w="9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71" w:type="dxa"/>
            <w:tcBorders/>
            <w:vAlign w:val="center"/>
          </w:tcPr>
          <w:p>
            <w:pPr>
              <w:pStyle w:val="TableContents"/>
              <w:bidi w:val="0"/>
              <w:spacing w:before="0" w:after="283"/>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000's</w:t>
            </w:r>
          </w:p>
        </w:tc>
        <w:tc>
          <w:tcPr>
            <w:tcW w:w="9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69"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3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r>
      <w:tr>
        <w:trPr/>
        <w:tc>
          <w:tcPr>
            <w:tcW w:w="3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r>
      <w:tr>
        <w:trPr/>
        <w:tc>
          <w:tcPr>
            <w:tcW w:w="323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r>
      <w:tr>
        <w:trPr/>
        <w:tc>
          <w:tcPr>
            <w:tcW w:w="3233"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9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9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r>
      <w:tr>
        <w:trPr/>
        <w:tc>
          <w:tcPr>
            <w:tcW w:w="3233"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9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r>
      <w:tr>
        <w:trPr/>
        <w:tc>
          <w:tcPr>
            <w:tcW w:w="3233" w:type="dxa"/>
            <w:tcBorders/>
            <w:shd w:fill="FFFFFF" w:val="clear"/>
            <w:vAlign w:val="center"/>
          </w:tcPr>
          <w:p>
            <w:pPr>
              <w:pStyle w:val="TableContents"/>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127</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224</w:t>
            </w:r>
          </w:p>
        </w:tc>
        <w:tc>
          <w:tcPr>
            <w:tcW w:w="9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306</w:t>
            </w:r>
          </w:p>
        </w:tc>
        <w:tc>
          <w:tcPr>
            <w:tcW w:w="9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r>
      <w:tr>
        <w:trPr/>
        <w:tc>
          <w:tcPr>
            <w:tcW w:w="32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r>
      <w:tr>
        <w:trPr/>
        <w:tc>
          <w:tcPr>
            <w:tcW w:w="323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4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9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5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2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w:t>
            </w:r>
          </w:p>
        </w:tc>
        <w:tc>
          <w:tcPr>
            <w:tcW w:w="9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4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2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bidi w:val="0"/>
              <w:spacing w:before="0" w:after="283"/>
              <w:jc w:val="left"/>
              <w:rPr/>
            </w:pPr>
            <w:r>
              <w:rPr/>
              <w:t> </w:t>
            </w:r>
          </w:p>
        </w:tc>
      </w:tr>
      <w:tr>
        <w:trPr/>
        <w:tc>
          <w:tcPr>
            <w:tcW w:w="3233" w:type="dxa"/>
            <w:tcBorders/>
            <w:shd w:fill="CCEEFF" w:val="clear"/>
            <w:vAlign w:val="center"/>
          </w:tcPr>
          <w:p>
            <w:pPr>
              <w:pStyle w:val="TableContents"/>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38</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4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3</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60</w:t>
            </w:r>
          </w:p>
        </w:tc>
        <w:tc>
          <w:tcPr>
            <w:tcW w:w="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5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1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63</w:t>
            </w:r>
          </w:p>
        </w:tc>
        <w:tc>
          <w:tcPr>
            <w:tcW w:w="9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4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2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283"/>
              <w:jc w:val="left"/>
              <w:rPr/>
            </w:pPr>
            <w:r>
              <w:rPr/>
              <w:t> </w:t>
            </w:r>
          </w:p>
        </w:tc>
      </w:tr>
      <w:tr>
        <w:trPr/>
        <w:tc>
          <w:tcPr>
            <w:tcW w:w="32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r>
      <w:tr>
        <w:trPr/>
        <w:tc>
          <w:tcPr>
            <w:tcW w:w="323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marketing, general and administrative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4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w:t>
            </w:r>
          </w:p>
        </w:tc>
        <w:tc>
          <w:tcPr>
            <w:tcW w:w="24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2,504</w:t>
            </w:r>
          </w:p>
        </w:tc>
        <w:tc>
          <w:tcPr>
            <w:tcW w:w="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5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w:t>
            </w:r>
          </w:p>
        </w:tc>
        <w:tc>
          <w:tcPr>
            <w:tcW w:w="21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2,319</w:t>
            </w:r>
          </w:p>
        </w:tc>
        <w:tc>
          <w:tcPr>
            <w:tcW w:w="9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4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w:t>
            </w:r>
          </w:p>
        </w:tc>
        <w:tc>
          <w:tcPr>
            <w:tcW w:w="2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283"/>
              <w:ind w:left="0" w:right="0" w:hanging="0"/>
              <w:jc w:val="left"/>
              <w:rPr/>
            </w:pPr>
            <w:r>
              <w:rPr/>
              <w:t> </w:t>
            </w:r>
          </w:p>
        </w:tc>
      </w:tr>
      <w:tr>
        <w:trPr/>
        <w:tc>
          <w:tcPr>
            <w:tcW w:w="323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4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9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5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21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9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4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2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bidi w:val="0"/>
              <w:spacing w:before="0" w:after="283"/>
              <w:jc w:val="left"/>
              <w:rPr/>
            </w:pPr>
            <w:r>
              <w:rPr/>
              <w:t> </w:t>
            </w:r>
          </w:p>
        </w:tc>
      </w:tr>
      <w:tr>
        <w:trPr/>
        <w:tc>
          <w:tcPr>
            <w:tcW w:w="3233"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751</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2,520</w:t>
            </w:r>
          </w:p>
        </w:tc>
        <w:tc>
          <w:tcPr>
            <w:tcW w:w="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2,365</w:t>
            </w:r>
          </w:p>
        </w:tc>
        <w:tc>
          <w:tcPr>
            <w:tcW w:w="9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r>
      <w:tr>
        <w:trPr/>
        <w:tc>
          <w:tcPr>
            <w:tcW w:w="32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r>
      <w:tr>
        <w:trPr/>
        <w:tc>
          <w:tcPr>
            <w:tcW w:w="3233" w:type="dxa"/>
            <w:tcBorders/>
            <w:shd w:fill="CCEEFF" w:val="clear"/>
            <w:vAlign w:val="center"/>
          </w:tcPr>
          <w:p>
            <w:pPr>
              <w:pStyle w:val="TableContents"/>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(713</w:t>
            </w:r>
          </w:p>
        </w:tc>
        <w:tc>
          <w:tcPr>
            <w:tcW w:w="10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8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(760</w:t>
            </w:r>
          </w:p>
        </w:tc>
        <w:tc>
          <w:tcPr>
            <w:tcW w:w="10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84"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(2,460</w:t>
            </w:r>
          </w:p>
        </w:tc>
        <w:tc>
          <w:tcPr>
            <w:tcW w:w="94"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74"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(2,302</w:t>
            </w:r>
          </w:p>
        </w:tc>
        <w:tc>
          <w:tcPr>
            <w:tcW w:w="94"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76"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r>
      <w:tr>
        <w:trPr/>
        <w:tc>
          <w:tcPr>
            <w:tcW w:w="32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r>
      <w:tr>
        <w:trPr/>
        <w:tc>
          <w:tcPr>
            <w:tcW w:w="323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w:t>
            </w:r>
          </w:p>
        </w:tc>
        <w:tc>
          <w:tcPr>
            <w:tcW w:w="10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9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9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r>
      <w:tr>
        <w:trPr/>
        <w:tc>
          <w:tcPr>
            <w:tcW w:w="323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and investment income (loss)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10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w:t>
            </w:r>
          </w:p>
        </w:tc>
        <w:tc>
          <w:tcPr>
            <w:tcW w:w="9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9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r>
      <w:tr>
        <w:trPr/>
        <w:tc>
          <w:tcPr>
            <w:tcW w:w="3233"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Net loss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(467</w:t>
            </w:r>
          </w:p>
        </w:tc>
        <w:tc>
          <w:tcPr>
            <w:tcW w:w="10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8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(571</w:t>
            </w:r>
          </w:p>
        </w:tc>
        <w:tc>
          <w:tcPr>
            <w:tcW w:w="105"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84"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(1,764</w:t>
            </w:r>
          </w:p>
        </w:tc>
        <w:tc>
          <w:tcPr>
            <w:tcW w:w="94"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74"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w:t>
            </w:r>
          </w:p>
        </w:tc>
        <w:tc>
          <w:tcPr>
            <w:tcW w:w="6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b/>
                <w:sz w:val="20"/>
              </w:rPr>
            </w:pPr>
            <w:r>
              <w:rPr>
                <w:rFonts w:ascii="Times New Roman" w:hAnsi="Times New Roman"/>
                <w:b/>
                <w:sz w:val="20"/>
              </w:rPr>
              <w:t>(1,853</w:t>
            </w:r>
          </w:p>
        </w:tc>
        <w:tc>
          <w:tcPr>
            <w:tcW w:w="94" w:type="dxa"/>
            <w:tcBorders/>
            <w:shd w:fill="CCEEFF" w:val="clear"/>
            <w:vAlign w:val="center"/>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76"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Revenue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w:t>
      </w:r>
      <w:r>
        <w:rPr>
          <w:rFonts w:ascii="Times New Roman" w:hAnsi="Times New Roman"/>
          <w:caps w:val="false"/>
          <w:smallCaps w:val="false"/>
          <w:sz w:val="20"/>
        </w:rPr>
        <w:t>. Total revenue increased to $127 for the three months ended September 30, 2023 from $18 for the three months ended September 30, 2022. The increase for the period was attributable to higher licensing and royalties revenue and higher general production shipments of products made by our contract manufacturer. Total revenue decreased to $224 for the nine months ended September 30, 2023 from $306 for the nine months ended September 30, 2022. The decrease for the period was attributable to lower licensing and royalties revenue and lower general production shipments of products made by our contract manufacturer.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Cost of sales</w:t>
      </w:r>
      <w:r>
        <w:rPr>
          <w:rFonts w:ascii="Times New Roman" w:hAnsi="Times New Roman"/>
          <w:caps w:val="false"/>
          <w:smallCaps w:val="false"/>
          <w:sz w:val="20"/>
        </w:rPr>
        <w:t>. Cost of sales was $89, or 70% of total revenue, for the three months ended September 30, 2023, an increase from $15, or 83% of total revenue, for the three months ended September 30, 2022. The increase for the three months ended September 30, 2023 was attributable to higher products revenue and higher gross profit percentages. Cost of sales was $164, or 73% of total revenue, for the nine months ended September 30, 2023, a decrease from $243, or 79% of total revenue, for the nine months ended September 30, 2022. The decrease for the nine months ended September 30, 2023 was attributable to lower products revenue and lower gross profit percentages. If we begin increasing our products revenues with shipments of routine, commercial products and parts through third party contract manufacturers, we expect our cost of sales percentages to decrease, stabilize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Gross profit</w:t>
      </w:r>
      <w:r>
        <w:rPr>
          <w:rFonts w:ascii="Times New Roman" w:hAnsi="Times New Roman"/>
          <w:caps w:val="false"/>
          <w:smallCaps w:val="false"/>
          <w:sz w:val="20"/>
        </w:rPr>
        <w:t>. Our gross profit increased to $38 for the three months ended September 30, 2023 from $3 for the three months ended September 30, 2022. Our gross profit as a percentage of total revenue, increased to 30% for the three months ended September 30, 2023 from 17% for the three months ended September 30, 2022. Our gross profit decreased to $60 for the nine months ended September 30, 2023 from $63 for the nine months ended September 30, 2022. Our gross profit as a percentage of total revenue, increased to 27% for the nine months ended September 30, 2023 from 21% for the nine months ended September 30, 2022. Early prototype and pre-production orders generally result in a higher cost mix, relative to revenue, than would otherwise be incurred in an on-site production environment, with higher volumes and more established operating processes, or through contract manufacturers. As such, our gross profit percentages have fluctuated and may continue to fluctuate based on volume and quoted production prices per unit and may not be representative of our future business. If we begin increasing our products revenues with shipments of routine, commercial products and parts through future orders to third party contract manufacturers, we expect our gross profit percentages to stabilize, increase,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Selling, marketing, general and administrative</w:t>
      </w:r>
      <w:r>
        <w:rPr>
          <w:rFonts w:ascii="Times New Roman" w:hAnsi="Times New Roman"/>
          <w:caps w:val="false"/>
          <w:smallCaps w:val="false"/>
          <w:sz w:val="20"/>
        </w:rPr>
        <w:t>. Selling, marketing, general, and administrative expenses were $746 and $2,504 for the three and nine months ended September 30, 2023 compared to $744 and $2,319 for the three and nine months ended September 30, 2022, respectively. The increase in expenses was primarily attributable to increased costs related to additional sales and marketing promotions as well as costs associated with our 2023 annual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Research and development</w:t>
      </w:r>
      <w:r>
        <w:rPr>
          <w:rFonts w:ascii="Times New Roman" w:hAnsi="Times New Roman"/>
          <w:caps w:val="false"/>
          <w:smallCaps w:val="false"/>
          <w:sz w:val="20"/>
        </w:rPr>
        <w:t>. Research and development expenses were $5 and $16 for the three and nine months ended September 30, 2023, respectively, compared to $19 and $46 for the three and nine months ended September 30, 2022, respectively. We continue to perform research and development of new Liquidmetal alloys and related processing capabilities, albeit on a reduced basis in comparison with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Operating loss</w:t>
      </w:r>
      <w:r>
        <w:rPr>
          <w:rFonts w:ascii="Times New Roman" w:hAnsi="Times New Roman"/>
          <w:caps w:val="false"/>
          <w:smallCaps w:val="false"/>
          <w:sz w:val="20"/>
        </w:rPr>
        <w:t>. Operating loss was $713 and $2,460 for the three and nine months ended September 30, 2023, respectively. This compares to $760 and $2,302 for the three and nine months ended September 30, 2022, respectively. Fluctuations in our operating loss are primarily attributable to variations in revenue, cost of sales, and operating expenses, as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Other income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Lease income. </w:t>
      </w:r>
      <w:r>
        <w:rPr>
          <w:rFonts w:ascii="Times New Roman" w:hAnsi="Times New Roman"/>
          <w:caps w:val="false"/>
          <w:smallCaps w:val="false"/>
          <w:sz w:val="20"/>
        </w:rPr>
        <w:t>Lease income relates to straight-line rental income received under the Facility Lease. Such amounts were $89 and $296 for the three and nine months ended September 30, 2023, respectively. This compares to $133 and $398 for the three and nine months ended September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Interest and investment income</w:t>
      </w:r>
      <w:r>
        <w:rPr>
          <w:rFonts w:ascii="Times New Roman" w:hAnsi="Times New Roman"/>
          <w:caps w:val="false"/>
          <w:smallCaps w:val="false"/>
          <w:sz w:val="20"/>
        </w:rPr>
        <w:t>. Interest and investment income relates to interest earned from our cash deposits and investments in debt securities for the respective periods. Interest and investment income was $157 and $400 for the three and nine months ended September, 2023, respectively. This compares to interest and investment loss of $56 and $55 during the three and nine months ended September, 2022, respectively. The increase during 2023 is due to recent federal interest rate hikes resulting in higher yields in interest income for corporate debt and bond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operating activities totaled $1,331 and $1,452 for the nine months ended September 30, 2023 and 2022, respectively. The cash was primarily used to fund operating expenses related to our business and product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Cash provided by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investing activities totaled $8,741 and used in investing activities totaled $2,564 for the nine months ended September 30, 2023 and 2022, respectively. Investing inflows primarily consist of proceeds from the sale of debt securities. Investing outflows primarily consist of purchases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Cash provided by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financing activities totaled $0 for the nine months ended September 30, 2023 and $212 for the nine months ended September 30, 2022 related to the exercise of our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Financing arrangements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relatively limited history of selling bulk amorphous alloy products and components on a mass-production scale. Furthermore, the ability of future contract manufacturers to produce our products in desired quantities and at commercially reasonable prices is uncertain and is dependent on a variety of factors that are outside of our control, including the nature and design of the component, the customer’s specifications, and required delivery timelines. These factors have previously required that we engage in equity sales under various stock purchase agreements to support its operations and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However, as of September 30, 2023, we had $9,684 in cash and restricted cash, as well as $13,695 in investments in debt securities. We view this total of $23,379 as readily available sources of liquidity in the event needed to advance our existing strategy, and/or pursue an alternative strategy. As such, we anticipate that our current capital resources, when considering expected losses from operations, will be sufficient to fund our operations for the foreseeable future.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item3"/>
      <w:bookmarkEnd w:id="11"/>
      <w:r>
        <w:rPr>
          <w:rFonts w:ascii="Times New Roman" w:hAnsi="Times New Roman"/>
          <w:b/>
          <w:caps w:val="false"/>
          <w:smallCaps w:val="false"/>
          <w:sz w:val="20"/>
        </w:rPr>
        <w:t xml:space="preserve">Item 3 </w:t>
      </w:r>
      <w:r>
        <w:rPr>
          <w:rFonts w:ascii="Times New Roman" w:hAnsi="Times New Roman"/>
          <w:caps w:val="false"/>
          <w:smallCaps w:val="false"/>
          <w:sz w:val="20"/>
        </w:rPr>
        <w:t xml:space="preserve">–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2" w:name="item4"/>
      <w:bookmarkEnd w:id="12"/>
      <w:r>
        <w:rPr>
          <w:rFonts w:ascii="Times New Roman" w:hAnsi="Times New Roman"/>
          <w:b/>
          <w:caps w:val="false"/>
          <w:smallCaps w:val="false"/>
          <w:sz w:val="20"/>
        </w:rPr>
        <w:t xml:space="preserve">Item 4 </w:t>
      </w:r>
      <w:r>
        <w:rPr>
          <w:rFonts w:ascii="Times New Roman" w:hAnsi="Times New Roman"/>
          <w:caps w:val="false"/>
          <w:smallCaps w:val="false"/>
          <w:sz w:val="20"/>
        </w:rPr>
        <w:t xml:space="preserve">–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Evaluation of Disclosure Controls and Procedures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(our Principal Executive Officer and Principal Financial Officer), we carried out an evaluation of the effectiveness of the design and operation of our disclosure controls and procedures (as defined in Rule 13a-15(e) under the Securities Exchange Act of 1934, as amended (the “Exchange Act”)) as of September 30, 2023. Based on their evaluation, our Chief Executive Officer has concluded that our disclosure controls and procedures were effective as of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that term is defined in Rules 13a-15(f) or 15d-15(f) under the Exchange Act) during the quarter ended September 30, 2023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3" w:name="part2"/>
      <w:bookmarkEnd w:id="13"/>
      <w:r>
        <w:rPr>
          <w:rFonts w:ascii="Times New Roman" w:hAnsi="Times New Roman"/>
          <w:b/>
          <w:caps w:val="false"/>
          <w:smallCaps w:val="false"/>
          <w:sz w:val="20"/>
        </w:rPr>
        <w:t>PART 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4" w:name="it1"/>
      <w:bookmarkEnd w:id="14"/>
      <w:r>
        <w:rPr>
          <w:rFonts w:ascii="Times New Roman" w:hAnsi="Times New Roman"/>
          <w:b/>
          <w:caps w:val="false"/>
          <w:smallCaps w:val="false"/>
          <w:sz w:val="20"/>
        </w:rPr>
        <w:t xml:space="preserve">Item 1 </w:t>
      </w:r>
      <w:r>
        <w:rPr>
          <w:rFonts w:ascii="Times New Roman" w:hAnsi="Times New Roman"/>
          <w:caps w:val="false"/>
          <w:smallCaps w:val="false"/>
          <w:sz w:val="20"/>
        </w:rPr>
        <w:t xml:space="preserve">–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5" w:name="it1a"/>
      <w:bookmarkEnd w:id="15"/>
      <w:r>
        <w:rPr>
          <w:rFonts w:ascii="Times New Roman" w:hAnsi="Times New Roman"/>
          <w:b/>
          <w:caps w:val="false"/>
          <w:smallCaps w:val="false"/>
          <w:sz w:val="20"/>
        </w:rPr>
        <w:t xml:space="preserve">Item 1A </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 detailed discussion of the risk factors that should be understood by any investor contemplating an investment in our stock, please refer to Part I, Item 1A “Risk Factors” in the 2022 Annual Report. There have been no material changes from the risk factors previously disclosed in Part I, Item 1A “Risk Factors” in the 2022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6" w:name="it2"/>
      <w:bookmarkEnd w:id="16"/>
      <w:r>
        <w:rPr>
          <w:rFonts w:ascii="Times New Roman" w:hAnsi="Times New Roman"/>
          <w:b/>
          <w:caps w:val="false"/>
          <w:smallCaps w:val="false"/>
          <w:sz w:val="20"/>
        </w:rPr>
        <w:t xml:space="preserve">Item 2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Unregistered Sales of Equity Securities and 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period covered by this Quarterly Report on Form 10-Q, we did not issue or sell any unregistered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7" w:name="it3"/>
      <w:bookmarkEnd w:id="17"/>
      <w:r>
        <w:rPr>
          <w:rFonts w:ascii="Times New Roman" w:hAnsi="Times New Roman"/>
          <w:b/>
          <w:caps w:val="false"/>
          <w:smallCaps w:val="false"/>
          <w:sz w:val="20"/>
        </w:rPr>
        <w:t xml:space="preserve">Item 3 </w:t>
      </w:r>
      <w:r>
        <w:rPr>
          <w:rFonts w:ascii="Times New Roman" w:hAnsi="Times New Roman"/>
          <w:caps w:val="false"/>
          <w:smallCaps w:val="false"/>
          <w:sz w:val="20"/>
        </w:rPr>
        <w:t xml:space="preserve">–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8" w:name="it4"/>
      <w:bookmarkEnd w:id="18"/>
      <w:r>
        <w:rPr>
          <w:rFonts w:ascii="Times New Roman" w:hAnsi="Times New Roman"/>
          <w:b/>
          <w:caps w:val="false"/>
          <w:smallCaps w:val="false"/>
          <w:sz w:val="20"/>
        </w:rPr>
        <w:t xml:space="preserve">Item 4 </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9" w:name="it5"/>
      <w:bookmarkEnd w:id="19"/>
      <w:r>
        <w:rPr>
          <w:rFonts w:ascii="Times New Roman" w:hAnsi="Times New Roman"/>
          <w:b/>
          <w:caps w:val="false"/>
          <w:smallCaps w:val="false"/>
          <w:sz w:val="20"/>
        </w:rPr>
        <w:t xml:space="preserve">Item 5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0" w:name="it6"/>
      <w:bookmarkEnd w:id="20"/>
      <w:r>
        <w:rPr>
          <w:rFonts w:ascii="Times New Roman" w:hAnsi="Times New Roman"/>
          <w:b/>
          <w:caps w:val="false"/>
          <w:smallCaps w:val="false"/>
          <w:sz w:val="20"/>
        </w:rPr>
        <w:t xml:space="preserve">Item 6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documents are filed as exhibits to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Document                                                      </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0"/>
              <w:ind w:left="0" w:right="0" w:hanging="0"/>
              <w:jc w:val="both"/>
              <w:rPr/>
            </w:pPr>
            <w:hyperlink w:anchor="ex_585953.htm">
              <w:r>
                <w:rPr>
                  <w:rStyle w:val="InternetLink"/>
                  <w:rFonts w:ascii="Times New Roman" w:hAnsi="Times New Roman"/>
                  <w:caps w:val="false"/>
                  <w:smallCaps w:val="false"/>
                  <w:sz w:val="20"/>
                </w:rPr>
                <w:t>Certification of Principal Executive Officer and Principal Financial Officer, Tony Chung, as required by Section 302 of the Sarbanes-Oxley Act of 2002.</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0"/>
              <w:ind w:left="0" w:right="0" w:hanging="0"/>
              <w:jc w:val="both"/>
              <w:rPr/>
            </w:pPr>
            <w:hyperlink w:anchor="ex_585954.htm">
              <w:r>
                <w:rPr>
                  <w:rStyle w:val="InternetLink"/>
                  <w:rFonts w:ascii="Times New Roman" w:hAnsi="Times New Roman"/>
                  <w:caps w:val="false"/>
                  <w:smallCaps w:val="false"/>
                  <w:sz w:val="20"/>
                </w:rPr>
                <w:t>Certification of Chief Executive Officer and Principal Financial Officer, Tony Chung, pursuant to 18 U.S.C. Section 1350, as adopted pursuant to Section 906 of the Sarbanes-Oxley Act of 2002.</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financial statements from Liquidmetal Technologies, Inc.’s Quarterly Report on Form 10-Q for the quarter ended September 30, 2023 (unaudited), formatted in Inline XBRL: (i) Consolidated Balance Sheets as of September 30, 2023 and December 31, 2022, (ii) Consolidated Statements of Operations for the three and nine months ended September 30, 2023 and 2022, (iii) Consolidated Statements of Comprehensive Loss for the three and nine months ended September 30, 2023 and 2022, (iv) Consolidated Statements of Cash Flows for the three and nine months ended September 30, 2023 and 2022, and (v) Notes to Consolidated Financial Statements.</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1" w:name="sig"/>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2105"/>
        <w:gridCol w:w="3410"/>
        <w:gridCol w:w="60"/>
      </w:tblGrid>
      <w:tr>
        <w:trPr/>
        <w:tc>
          <w:tcPr>
            <w:tcW w:w="21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LIQUIDMETAL TECHNOLOGIES, INC.</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(Registrant)</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14, 2023</w:t>
            </w:r>
          </w:p>
        </w:tc>
        <w:tc>
          <w:tcPr>
            <w:tcW w:w="341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Tony Chung</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Tony Chung</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 and Principal</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25 </w:t>
      </w:r>
    </w:p>
    <w:p>
      <w:pPr>
        <w:pStyle w:val="TextBody"/>
        <w:bidi w:val="0"/>
        <w:spacing w:before="0" w:after="0"/>
        <w:ind w:left="0" w:right="0" w:hanging="0"/>
        <w:jc w:val="left"/>
        <w:rPr>
          <w:rFonts w:ascii="Times New Roman" w:hAnsi="Times New Roman"/>
          <w:b/>
          <w:caps w:val="false"/>
          <w:smallCaps w:val="false"/>
          <w:sz w:val="20"/>
        </w:rPr>
      </w:pPr>
      <w:bookmarkStart w:id="22" w:name="ex_585953.htm"/>
      <w:bookmarkStart w:id="23" w:name="ksex_585953"/>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Tony Chung,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Liquidmetal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2105"/>
        <w:gridCol w:w="3410"/>
        <w:gridCol w:w="60"/>
      </w:tblGrid>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14, 2023</w:t>
            </w:r>
          </w:p>
        </w:tc>
        <w:tc>
          <w:tcPr>
            <w:tcW w:w="34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 and Principal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24" w:name="ex_585954.htm"/>
      <w:bookmarkStart w:id="25" w:name="ksex_585954"/>
      <w:bookmarkEnd w:id="24"/>
      <w:bookmarkEnd w:id="25"/>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WRITTEN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Solely for the purposes of complying with 18 U.S.C. 1350, I, the undersigned Chief Executive Officer and Principal Financial Officer of Liquidmetal Technologies, Inc. (the “Company”) hereby certify, based on my knowledge, that the Quarterly Report on Form 10-Q of the Company for the quarter ended September 30, 2023 (the “Report”) fully complies with the requirements of Section 13(a) of the Securities Exchange Act of 1934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5599" w:type="dxa"/>
        <w:jc w:val="left"/>
        <w:tblInd w:w="0" w:type="dxa"/>
        <w:tblLayout w:type="fixed"/>
        <w:tblCellMar>
          <w:top w:w="0" w:type="dxa"/>
          <w:left w:w="0" w:type="dxa"/>
          <w:bottom w:w="28" w:type="dxa"/>
          <w:right w:w="0" w:type="dxa"/>
        </w:tblCellMar>
      </w:tblPr>
      <w:tblGrid>
        <w:gridCol w:w="5469"/>
        <w:gridCol w:w="130"/>
      </w:tblGrid>
      <w:tr>
        <w:trPr/>
        <w:tc>
          <w:tcPr>
            <w:tcW w:w="5469"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Tony Chung                           </w:t>
            </w:r>
          </w:p>
        </w:tc>
        <w:tc>
          <w:tcPr>
            <w:tcW w:w="130" w:type="dxa"/>
            <w:tcBorders/>
            <w:tcMar>
              <w:bottom w:w="0" w:type="dxa"/>
            </w:tcMar>
            <w:vAlign w:val="center"/>
          </w:tcPr>
          <w:p>
            <w:pPr>
              <w:pStyle w:val="TableContents"/>
              <w:bidi w:val="0"/>
              <w:spacing w:before="0" w:after="283"/>
              <w:jc w:val="left"/>
              <w:rPr/>
            </w:pPr>
            <w:r>
              <w:rPr/>
              <w:t> </w:t>
            </w:r>
          </w:p>
        </w:tc>
      </w:tr>
      <w:tr>
        <w:trPr/>
        <w:tc>
          <w:tcPr>
            <w:tcW w:w="5599" w:type="dxa"/>
            <w:gridSpan w:val="2"/>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Tony Chung, Chief Executive Officer and Principal Financial Officer</w:t>
            </w:r>
          </w:p>
        </w:tc>
      </w:tr>
      <w:tr>
        <w:trPr/>
        <w:tc>
          <w:tcPr>
            <w:tcW w:w="546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14, 2023</w:t>
            </w:r>
          </w:p>
        </w:tc>
        <w:tc>
          <w:tcPr>
            <w:tcW w:w="13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11307</Words>
  <Characters>61876</Characters>
  <CharactersWithSpaces>75486</CharactersWithSpaces>
  <Paragraphs>4967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