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50331_10q.htm"/>
      <w:bookmarkStart w:id="1" w:name="kslqmt20250331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7" w:type="dxa"/>
        <w:tblLayout w:type="fixed"/>
        <w:tblCellMar>
          <w:top w:w="28" w:type="dxa"/>
          <w:left w:w="28" w:type="dxa"/>
          <w:bottom w:w="28" w:type="dxa"/>
          <w:right w:w="28" w:type="dxa"/>
        </w:tblCellMar>
      </w:tblPr>
      <w:tblGrid>
        <w:gridCol w:w="230"/>
        <w:gridCol w:w="9875"/>
      </w:tblGrid>
      <w:tr>
        <w:trPr/>
        <w:tc>
          <w:tcPr>
            <w:tcW w:w="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w:t>
      </w:r>
      <w:r>
        <w:rPr>
          <w:rFonts w:ascii="Times New Roman" w:hAnsi="Times New Roman"/>
          <w:b/>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7" w:type="dxa"/>
        <w:tblLayout w:type="fixed"/>
        <w:tblCellMar>
          <w:top w:w="28" w:type="dxa"/>
          <w:left w:w="28" w:type="dxa"/>
          <w:bottom w:w="28" w:type="dxa"/>
          <w:right w:w="28" w:type="dxa"/>
        </w:tblCellMar>
      </w:tblPr>
      <w:tblGrid>
        <w:gridCol w:w="230"/>
        <w:gridCol w:w="9860"/>
      </w:tblGrid>
      <w:tr>
        <w:trPr/>
        <w:tc>
          <w:tcPr>
            <w:tcW w:w="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w:t>
      </w:r>
      <w:r>
        <w:rPr>
          <w:rFonts w:ascii="Times New Roman" w:hAnsi="Times New Roman"/>
          <w:b/>
          <w:caps w:val="false"/>
          <w:smallCaps w:val="false"/>
          <w:sz w:val="20"/>
        </w:rPr>
        <w:t>001-31332</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7" w:type="dxa"/>
        <w:tblLayout w:type="fixed"/>
        <w:tblCellMar>
          <w:top w:w="28" w:type="dxa"/>
          <w:left w:w="28" w:type="dxa"/>
          <w:bottom w:w="28" w:type="dxa"/>
          <w:right w:w="28" w:type="dxa"/>
        </w:tblCellMar>
      </w:tblPr>
      <w:tblGrid>
        <w:gridCol w:w="2480"/>
        <w:gridCol w:w="1520"/>
      </w:tblGrid>
      <w:tr>
        <w:trPr/>
        <w:tc>
          <w:tcPr>
            <w:tcW w:w="2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Lake Forest,</w:t>
      </w:r>
      <w:r>
        <w:rPr>
          <w:rFonts w:ascii="Times New Roman" w:hAnsi="Times New Roman"/>
          <w:caps w:val="false"/>
          <w:smallCaps w:val="false"/>
          <w:sz w:val="20"/>
        </w:rPr>
        <w:t> </w:t>
      </w:r>
      <w:r>
        <w:rPr>
          <w:rFonts w:ascii="Times New Roman" w:hAnsi="Times New Roman"/>
          <w:b/>
          <w:caps w:val="false"/>
          <w:smallCaps w:val="false"/>
          <w:sz w:val="20"/>
        </w:rPr>
        <w:t>CA</w:t>
      </w:r>
      <w:r>
        <w:rPr>
          <w:rFonts w:ascii="Times New Roman" w:hAnsi="Times New Roman"/>
          <w:caps w:val="false"/>
          <w:smallCaps w:val="false"/>
          <w:sz w:val="20"/>
        </w:rPr>
        <w:t> </w:t>
      </w:r>
      <w:r>
        <w:rPr>
          <w:rFonts w:ascii="Times New Roman" w:hAnsi="Times New Roman"/>
          <w:b/>
          <w:caps w:val="false"/>
          <w:smallCaps w:val="false"/>
          <w:sz w:val="20"/>
        </w:rPr>
        <w:t>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(949)</w:t>
      </w:r>
      <w:r>
        <w:rPr>
          <w:rFonts w:ascii="Times New Roman" w:hAnsi="Times New Roman"/>
          <w:caps w:val="false"/>
          <w:smallCaps w:val="false"/>
          <w:sz w:val="20"/>
        </w:rPr>
        <w:t> </w:t>
      </w:r>
      <w:r>
        <w:rPr>
          <w:rFonts w:ascii="Times New Roman" w:hAnsi="Times New Roman"/>
          <w:b/>
          <w:caps w:val="false"/>
          <w:smallCaps w:val="false"/>
          <w:sz w:val="20"/>
        </w:rPr>
        <w:t>635-2100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7" w:type="dxa"/>
        <w:tblLayout w:type="fixed"/>
        <w:tblCellMar>
          <w:top w:w="28" w:type="dxa"/>
          <w:left w:w="28" w:type="dxa"/>
          <w:bottom w:w="28" w:type="dxa"/>
          <w:right w:w="28" w:type="dxa"/>
        </w:tblCellMar>
      </w:tblPr>
      <w:tblGrid>
        <w:gridCol w:w="2900"/>
        <w:gridCol w:w="1940"/>
        <w:gridCol w:w="1940"/>
      </w:tblGrid>
      <w:tr>
        <w:trPr/>
        <w:tc>
          <w:tcPr>
            <w:tcW w:w="29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w:t>
            </w:r>
          </w:p>
        </w:tc>
        <w:tc>
          <w:tcPr>
            <w:tcW w:w="19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        </w:t>
            </w:r>
          </w:p>
        </w:tc>
        <w:tc>
          <w:tcPr>
            <w:tcW w:w="19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29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94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4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9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        </w:t>
            </w:r>
          </w:p>
        </w:tc>
        <w:tc>
          <w:tcPr>
            <w:tcW w:w="3880"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common shares outstanding as of May 13, 2025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LIQUIDMETAL TECHNOLOGIES, INC.</w:t>
      </w:r>
      <w:r>
        <w:rPr>
          <w:rFonts w:ascii="Times New Roman" w:hAnsi="Times New Roman"/>
          <w:caps w:val="false"/>
          <w:smallCaps w:val="false"/>
          <w:sz w:val="20"/>
        </w:rPr>
        <w:br/>
      </w:r>
      <w:r>
        <w:rPr>
          <w:rFonts w:ascii="Times New Roman" w:hAnsi="Times New Roman"/>
          <w:b/>
          <w:caps w:val="false"/>
          <w:smallCaps w:val="false"/>
          <w:sz w:val="20"/>
        </w:rPr>
        <w:t>FORM 10-Q</w:t>
      </w:r>
      <w:r>
        <w:rPr>
          <w:rFonts w:ascii="Times New Roman" w:hAnsi="Times New Roman"/>
          <w:caps w:val="false"/>
          <w:smallCaps w:val="false"/>
          <w:sz w:val="20"/>
        </w:rPr>
        <w:br/>
      </w:r>
      <w:r>
        <w:rPr>
          <w:rFonts w:ascii="Times New Roman" w:hAnsi="Times New Roman"/>
          <w:b/>
          <w:caps w:val="false"/>
          <w:smallCaps w:val="false"/>
          <w:sz w:val="20"/>
        </w:rPr>
        <w:t>FOR THE QUARTER ENDED</w:t>
      </w:r>
      <w:r>
        <w:rPr>
          <w:rFonts w:ascii="Times New Roman" w:hAnsi="Times New Roman"/>
          <w:caps w:val="false"/>
          <w:smallCaps w:val="false"/>
          <w:sz w:val="20"/>
        </w:rPr>
        <w:t> </w:t>
      </w:r>
      <w:r>
        <w:rPr>
          <w:rFonts w:ascii="Times New Roman" w:hAnsi="Times New Roman"/>
          <w:b/>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2024 entitled “Risk Factors,”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7" w:type="dxa"/>
        <w:tblLayout w:type="fixed"/>
        <w:tblCellMar>
          <w:top w:w="28" w:type="dxa"/>
          <w:left w:w="28" w:type="dxa"/>
          <w:bottom w:w="28" w:type="dxa"/>
          <w:right w:w="28" w:type="dxa"/>
        </w:tblCellMar>
      </w:tblPr>
      <w:tblGrid>
        <w:gridCol w:w="170"/>
        <w:gridCol w:w="9770"/>
      </w:tblGrid>
      <w:tr>
        <w:trPr/>
        <w:tc>
          <w:tcPr>
            <w:tcW w:w="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history of operating losses and the uncertainty surrounding our ability to achieve or sustain profitability;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developing and selling products made from our bulk amorphous alloys;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associated with having products manufactured from our alloys and the use of third parties for manufacturing;</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licensing our technology to third parties;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Lengthy customer adoption cycles and unpredictable customer adoption practices;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develop, and commercialize new product applications for our technology;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current suppliers of incumbent materials or producers of competing products;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consummate, and/or integrate strategic partnerships;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for manufacturing problems or delays;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difficulties associated with protecting or expanding our intellectual property position;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other than as required by applicable law,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985"/>
        <w:gridCol w:w="230"/>
      </w:tblGrid>
      <w:tr>
        <w:trPr/>
        <w:tc>
          <w:tcPr>
            <w:tcW w:w="7985"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u w:val="single"/>
                </w:rPr>
                <w:t>PART I</w:t>
              </w:r>
            </w:hyperlink>
            <w:hyperlink w:anchor="part1">
              <w:r>
                <w:rPr>
                  <w:rStyle w:val="InternetLink"/>
                  <w:rFonts w:ascii="Times New Roman" w:hAnsi="Times New Roman"/>
                  <w:caps w:val="false"/>
                  <w:smallCaps w:val="false"/>
                  <w:sz w:val="20"/>
                  <w:u w:val="single"/>
                </w:rPr>
                <w:t> – </w:t>
              </w:r>
            </w:hyperlink>
            <w:hyperlink w:anchor="part1">
              <w:r>
                <w:rPr>
                  <w:rStyle w:val="InternetLink"/>
                  <w:rFonts w:ascii="Times New Roman" w:hAnsi="Times New Roman"/>
                  <w:b/>
                  <w:caps w:val="false"/>
                  <w:smallCaps w:val="false"/>
                  <w:sz w:val="20"/>
                  <w:u w:val="single"/>
                </w:rPr>
                <w:t>Financial Information</w:t>
              </w:r>
            </w:hyperlink>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art1">
              <w:r>
                <w:rPr>
                  <w:rStyle w:val="InternetLink"/>
                  <w:rFonts w:ascii="Times New Roman" w:hAnsi="Times New Roman"/>
                  <w:caps w:val="false"/>
                  <w:smallCaps w:val="false"/>
                  <w:sz w:val="20"/>
                  <w:u w:val="single"/>
                </w:rPr>
                <w:t>Item 1 – Financial Statements</w:t>
              </w:r>
            </w:hyperlink>
          </w:p>
        </w:tc>
        <w:tc>
          <w:tcPr>
            <w:tcW w:w="23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u w:val="single"/>
                </w:rPr>
                <w:t>4</w:t>
              </w:r>
            </w:hyperlink>
          </w:p>
        </w:tc>
      </w:tr>
      <w:tr>
        <w:trPr/>
        <w:tc>
          <w:tcPr>
            <w:tcW w:w="7985" w:type="dxa"/>
            <w:tcBorders/>
            <w:vAlign w:val="center"/>
          </w:tcPr>
          <w:p>
            <w:pPr>
              <w:pStyle w:val="TableContents"/>
              <w:bidi w:val="0"/>
              <w:spacing w:before="0" w:after="0"/>
              <w:ind w:left="540" w:right="0" w:hanging="0"/>
              <w:jc w:val="left"/>
              <w:rPr/>
            </w:pPr>
            <w:hyperlink w:anchor="part1">
              <w:r>
                <w:rPr>
                  <w:rStyle w:val="InternetLink"/>
                  <w:rFonts w:ascii="Times New Roman" w:hAnsi="Times New Roman"/>
                  <w:caps w:val="false"/>
                  <w:smallCaps w:val="false"/>
                  <w:sz w:val="20"/>
                  <w:u w:val="single"/>
                </w:rPr>
                <w:t>Unaudited Consolidated Balance Sheets</w:t>
              </w:r>
            </w:hyperlink>
          </w:p>
        </w:tc>
        <w:tc>
          <w:tcPr>
            <w:tcW w:w="23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u w:val="single"/>
                </w:rPr>
                <w:t>4</w:t>
              </w:r>
            </w:hyperlink>
          </w:p>
        </w:tc>
      </w:tr>
      <w:tr>
        <w:trPr/>
        <w:tc>
          <w:tcPr>
            <w:tcW w:w="7985" w:type="dxa"/>
            <w:tcBorders/>
            <w:vAlign w:val="center"/>
          </w:tcPr>
          <w:p>
            <w:pPr>
              <w:pStyle w:val="TableContents"/>
              <w:bidi w:val="0"/>
              <w:spacing w:before="0" w:after="0"/>
              <w:ind w:left="540" w:right="0" w:hanging="0"/>
              <w:jc w:val="left"/>
              <w:rPr/>
            </w:pPr>
            <w:hyperlink w:anchor="sop">
              <w:r>
                <w:rPr>
                  <w:rStyle w:val="InternetLink"/>
                  <w:rFonts w:ascii="Times New Roman" w:hAnsi="Times New Roman"/>
                  <w:caps w:val="false"/>
                  <w:smallCaps w:val="false"/>
                  <w:sz w:val="20"/>
                  <w:u w:val="single"/>
                </w:rPr>
                <w:t>Unaudited Consolidated Statements of Operations</w:t>
              </w:r>
            </w:hyperlink>
          </w:p>
        </w:tc>
        <w:tc>
          <w:tcPr>
            <w:tcW w:w="230" w:type="dxa"/>
            <w:tcBorders/>
            <w:vAlign w:val="center"/>
          </w:tcPr>
          <w:p>
            <w:pPr>
              <w:pStyle w:val="TableContents"/>
              <w:bidi w:val="0"/>
              <w:spacing w:before="0" w:after="0"/>
              <w:ind w:left="0" w:right="0" w:hanging="0"/>
              <w:jc w:val="center"/>
              <w:rPr/>
            </w:pPr>
            <w:hyperlink w:anchor="sop">
              <w:r>
                <w:rPr>
                  <w:rStyle w:val="InternetLink"/>
                  <w:rFonts w:ascii="Times New Roman" w:hAnsi="Times New Roman"/>
                  <w:caps w:val="false"/>
                  <w:smallCaps w:val="false"/>
                  <w:sz w:val="20"/>
                  <w:u w:val="single"/>
                </w:rPr>
                <w:t>5</w:t>
              </w:r>
            </w:hyperlink>
          </w:p>
        </w:tc>
      </w:tr>
      <w:tr>
        <w:trPr/>
        <w:tc>
          <w:tcPr>
            <w:tcW w:w="7985" w:type="dxa"/>
            <w:tcBorders/>
            <w:vAlign w:val="center"/>
          </w:tcPr>
          <w:p>
            <w:pPr>
              <w:pStyle w:val="TableContents"/>
              <w:bidi w:val="0"/>
              <w:spacing w:before="0" w:after="0"/>
              <w:ind w:left="540" w:right="0" w:hanging="0"/>
              <w:jc w:val="left"/>
              <w:rPr/>
            </w:pPr>
            <w:hyperlink w:anchor="se">
              <w:r>
                <w:rPr>
                  <w:rStyle w:val="InternetLink"/>
                  <w:rFonts w:ascii="Times New Roman" w:hAnsi="Times New Roman"/>
                  <w:caps w:val="false"/>
                  <w:smallCaps w:val="false"/>
                  <w:sz w:val="20"/>
                  <w:u w:val="single"/>
                </w:rPr>
                <w:t>Unaudited Consolidated Statements of Stockholders’ Equity</w:t>
              </w:r>
            </w:hyperlink>
          </w:p>
        </w:tc>
        <w:tc>
          <w:tcPr>
            <w:tcW w:w="230" w:type="dxa"/>
            <w:tcBorders/>
            <w:vAlign w:val="center"/>
          </w:tcPr>
          <w:p>
            <w:pPr>
              <w:pStyle w:val="TableContents"/>
              <w:bidi w:val="0"/>
              <w:spacing w:before="0" w:after="0"/>
              <w:ind w:left="0" w:right="0" w:hanging="0"/>
              <w:jc w:val="center"/>
              <w:rPr/>
            </w:pPr>
            <w:hyperlink w:anchor="se">
              <w:r>
                <w:rPr>
                  <w:rStyle w:val="InternetLink"/>
                  <w:rFonts w:ascii="Times New Roman" w:hAnsi="Times New Roman"/>
                  <w:caps w:val="false"/>
                  <w:smallCaps w:val="false"/>
                  <w:sz w:val="20"/>
                  <w:u w:val="single"/>
                </w:rPr>
                <w:t>6</w:t>
              </w:r>
            </w:hyperlink>
          </w:p>
        </w:tc>
      </w:tr>
      <w:tr>
        <w:trPr/>
        <w:tc>
          <w:tcPr>
            <w:tcW w:w="7985" w:type="dxa"/>
            <w:tcBorders/>
            <w:vAlign w:val="center"/>
          </w:tcPr>
          <w:p>
            <w:pPr>
              <w:pStyle w:val="TableContents"/>
              <w:bidi w:val="0"/>
              <w:spacing w:before="0" w:after="0"/>
              <w:ind w:left="540" w:right="0" w:hanging="0"/>
              <w:jc w:val="left"/>
              <w:rPr/>
            </w:pPr>
            <w:hyperlink w:anchor="ci">
              <w:r>
                <w:rPr>
                  <w:rStyle w:val="InternetLink"/>
                  <w:rFonts w:ascii="Times New Roman" w:hAnsi="Times New Roman"/>
                  <w:caps w:val="false"/>
                  <w:smallCaps w:val="false"/>
                  <w:sz w:val="20"/>
                  <w:u w:val="single"/>
                </w:rPr>
                <w:t>Unaudited Consolidated Statements of Comprehensive Income (Loss)</w:t>
              </w:r>
            </w:hyperlink>
          </w:p>
        </w:tc>
        <w:tc>
          <w:tcPr>
            <w:tcW w:w="230" w:type="dxa"/>
            <w:tcBorders/>
            <w:vAlign w:val="center"/>
          </w:tcPr>
          <w:p>
            <w:pPr>
              <w:pStyle w:val="TableContents"/>
              <w:bidi w:val="0"/>
              <w:spacing w:before="0" w:after="0"/>
              <w:ind w:left="0" w:right="0" w:hanging="0"/>
              <w:jc w:val="center"/>
              <w:rPr/>
            </w:pPr>
            <w:hyperlink w:anchor="ci">
              <w:r>
                <w:rPr>
                  <w:rStyle w:val="InternetLink"/>
                  <w:rFonts w:ascii="Times New Roman" w:hAnsi="Times New Roman"/>
                  <w:caps w:val="false"/>
                  <w:smallCaps w:val="false"/>
                  <w:sz w:val="20"/>
                  <w:u w:val="single"/>
                </w:rPr>
                <w:t>7</w:t>
              </w:r>
            </w:hyperlink>
          </w:p>
        </w:tc>
      </w:tr>
      <w:tr>
        <w:trPr/>
        <w:tc>
          <w:tcPr>
            <w:tcW w:w="7985" w:type="dxa"/>
            <w:tcBorders/>
            <w:vAlign w:val="center"/>
          </w:tcPr>
          <w:p>
            <w:pPr>
              <w:pStyle w:val="TableContents"/>
              <w:bidi w:val="0"/>
              <w:spacing w:before="0" w:after="0"/>
              <w:ind w:left="540" w:right="0" w:hanging="0"/>
              <w:jc w:val="left"/>
              <w:rPr/>
            </w:pPr>
            <w:hyperlink w:anchor="cf">
              <w:r>
                <w:rPr>
                  <w:rStyle w:val="InternetLink"/>
                  <w:rFonts w:ascii="Times New Roman" w:hAnsi="Times New Roman"/>
                  <w:caps w:val="false"/>
                  <w:smallCaps w:val="false"/>
                  <w:sz w:val="20"/>
                  <w:u w:val="single"/>
                </w:rPr>
                <w:t>Unaudited Consolidated Statements of Cash Flows</w:t>
              </w:r>
            </w:hyperlink>
          </w:p>
        </w:tc>
        <w:tc>
          <w:tcPr>
            <w:tcW w:w="230" w:type="dxa"/>
            <w:tcBorders/>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u w:val="single"/>
                </w:rPr>
                <w:t>8</w:t>
              </w:r>
            </w:hyperlink>
          </w:p>
        </w:tc>
      </w:tr>
      <w:tr>
        <w:trPr/>
        <w:tc>
          <w:tcPr>
            <w:tcW w:w="7985" w:type="dxa"/>
            <w:tcBorders/>
            <w:vAlign w:val="center"/>
          </w:tcPr>
          <w:p>
            <w:pPr>
              <w:pStyle w:val="TableContents"/>
              <w:bidi w:val="0"/>
              <w:spacing w:before="0" w:after="0"/>
              <w:ind w:left="540" w:right="0" w:hanging="0"/>
              <w:jc w:val="left"/>
              <w:rPr/>
            </w:pPr>
            <w:hyperlink w:anchor="notes">
              <w:r>
                <w:rPr>
                  <w:rStyle w:val="InternetLink"/>
                  <w:rFonts w:ascii="Times New Roman" w:hAnsi="Times New Roman"/>
                  <w:caps w:val="false"/>
                  <w:smallCaps w:val="false"/>
                  <w:sz w:val="20"/>
                  <w:u w:val="single"/>
                </w:rPr>
                <w:t>Notes to Unaudited Consolidated Financial Statements</w:t>
              </w:r>
            </w:hyperlink>
          </w:p>
        </w:tc>
        <w:tc>
          <w:tcPr>
            <w:tcW w:w="23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u w:val="single"/>
                </w:rPr>
                <w:t>9</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mda">
              <w:r>
                <w:rPr>
                  <w:rStyle w:val="InternetLink"/>
                  <w:rFonts w:ascii="Times New Roman" w:hAnsi="Times New Roman"/>
                  <w:caps w:val="false"/>
                  <w:smallCaps w:val="false"/>
                  <w:sz w:val="20"/>
                  <w:u w:val="single"/>
                </w:rPr>
                <w:t>Item 2 –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u w:val="single"/>
                </w:rPr>
                <w:t>19</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qqd">
              <w:r>
                <w:rPr>
                  <w:rStyle w:val="InternetLink"/>
                  <w:rFonts w:ascii="Times New Roman" w:hAnsi="Times New Roman"/>
                  <w:caps w:val="false"/>
                  <w:smallCaps w:val="false"/>
                  <w:sz w:val="20"/>
                  <w:u w:val="single"/>
                </w:rPr>
                <w:t>Item 3 – Quantitative and Qualitative Disclosures about Market Risk</w:t>
              </w:r>
            </w:hyperlink>
          </w:p>
        </w:tc>
        <w:tc>
          <w:tcPr>
            <w:tcW w:w="230" w:type="dxa"/>
            <w:tcBorders/>
            <w:vAlign w:val="center"/>
          </w:tcPr>
          <w:p>
            <w:pPr>
              <w:pStyle w:val="TableContents"/>
              <w:bidi w:val="0"/>
              <w:spacing w:before="0" w:after="0"/>
              <w:ind w:left="0" w:right="0" w:hanging="0"/>
              <w:jc w:val="center"/>
              <w:rPr/>
            </w:pPr>
            <w:hyperlink w:anchor="qqd">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cp">
              <w:r>
                <w:rPr>
                  <w:rStyle w:val="InternetLink"/>
                  <w:rFonts w:ascii="Times New Roman" w:hAnsi="Times New Roman"/>
                  <w:caps w:val="false"/>
                  <w:smallCaps w:val="false"/>
                  <w:sz w:val="20"/>
                  <w:u w:val="single"/>
                </w:rPr>
                <w:t>Item 4 – Controls and Procedures</w:t>
              </w:r>
            </w:hyperlink>
          </w:p>
        </w:tc>
        <w:tc>
          <w:tcPr>
            <w:tcW w:w="230" w:type="dxa"/>
            <w:tcBorders/>
            <w:vAlign w:val="center"/>
          </w:tcPr>
          <w:p>
            <w:pPr>
              <w:pStyle w:val="TableContents"/>
              <w:bidi w:val="0"/>
              <w:spacing w:before="0" w:after="0"/>
              <w:ind w:left="0" w:right="0" w:hanging="0"/>
              <w:jc w:val="center"/>
              <w:rPr/>
            </w:pPr>
            <w:hyperlink w:anchor="cp">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PART II</w:t>
              </w:r>
            </w:hyperlink>
            <w:hyperlink w:anchor="part2">
              <w:r>
                <w:rPr>
                  <w:rStyle w:val="InternetLink"/>
                  <w:rFonts w:ascii="Times New Roman" w:hAnsi="Times New Roman"/>
                  <w:caps w:val="false"/>
                  <w:smallCaps w:val="false"/>
                  <w:sz w:val="20"/>
                  <w:u w:val="single"/>
                </w:rPr>
                <w:t> – </w:t>
              </w:r>
            </w:hyperlink>
            <w:hyperlink w:anchor="part2">
              <w:r>
                <w:rPr>
                  <w:rStyle w:val="InternetLink"/>
                  <w:rFonts w:ascii="Times New Roman" w:hAnsi="Times New Roman"/>
                  <w:b/>
                  <w:caps w:val="false"/>
                  <w:smallCaps w:val="false"/>
                  <w:sz w:val="20"/>
                  <w:u w:val="single"/>
                </w:rPr>
                <w:t>Other Information</w:t>
              </w:r>
            </w:hyperlink>
          </w:p>
        </w:tc>
        <w:tc>
          <w:tcPr>
            <w:tcW w:w="23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lp">
              <w:r>
                <w:rPr>
                  <w:rStyle w:val="InternetLink"/>
                  <w:rFonts w:ascii="Times New Roman" w:hAnsi="Times New Roman"/>
                  <w:caps w:val="false"/>
                  <w:smallCaps w:val="false"/>
                  <w:sz w:val="20"/>
                  <w:u w:val="single"/>
                </w:rPr>
                <w:t>Item 1 – Legal Proceedings</w:t>
              </w:r>
            </w:hyperlink>
          </w:p>
        </w:tc>
        <w:tc>
          <w:tcPr>
            <w:tcW w:w="230" w:type="dxa"/>
            <w:tcBorders/>
            <w:vAlign w:val="center"/>
          </w:tcPr>
          <w:p>
            <w:pPr>
              <w:pStyle w:val="TableContents"/>
              <w:bidi w:val="0"/>
              <w:spacing w:before="0" w:after="0"/>
              <w:ind w:left="0" w:right="0" w:hanging="0"/>
              <w:jc w:val="center"/>
              <w:rPr/>
            </w:pPr>
            <w:hyperlink w:anchor="lp">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rf">
              <w:r>
                <w:rPr>
                  <w:rStyle w:val="InternetLink"/>
                  <w:rFonts w:ascii="Times New Roman" w:hAnsi="Times New Roman"/>
                  <w:caps w:val="false"/>
                  <w:smallCaps w:val="false"/>
                  <w:sz w:val="20"/>
                  <w:u w:val="single"/>
                </w:rPr>
                <w:t>Item 1A – Risk Factors</w:t>
              </w:r>
            </w:hyperlink>
          </w:p>
        </w:tc>
        <w:tc>
          <w:tcPr>
            <w:tcW w:w="230" w:type="dxa"/>
            <w:tcBorders/>
            <w:vAlign w:val="center"/>
          </w:tcPr>
          <w:p>
            <w:pPr>
              <w:pStyle w:val="TableContents"/>
              <w:bidi w:val="0"/>
              <w:spacing w:before="0" w:after="0"/>
              <w:ind w:left="0" w:right="0" w:hanging="0"/>
              <w:jc w:val="center"/>
              <w:rPr/>
            </w:pPr>
            <w:hyperlink w:anchor="rf">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uses">
              <w:r>
                <w:rPr>
                  <w:rStyle w:val="InternetLink"/>
                  <w:rFonts w:ascii="Times New Roman" w:hAnsi="Times New Roman"/>
                  <w:caps w:val="false"/>
                  <w:smallCaps w:val="false"/>
                  <w:sz w:val="20"/>
                  <w:u w:val="single"/>
                </w:rPr>
                <w:t>Item 2 – Unregistered Sales of Equity Securities and Use of Proceeds</w:t>
              </w:r>
            </w:hyperlink>
          </w:p>
        </w:tc>
        <w:tc>
          <w:tcPr>
            <w:tcW w:w="230" w:type="dxa"/>
            <w:tcBorders/>
            <w:vAlign w:val="center"/>
          </w:tcPr>
          <w:p>
            <w:pPr>
              <w:pStyle w:val="TableContents"/>
              <w:bidi w:val="0"/>
              <w:spacing w:before="0" w:after="0"/>
              <w:ind w:left="0" w:right="0" w:hanging="0"/>
              <w:jc w:val="center"/>
              <w:rPr/>
            </w:pPr>
            <w:hyperlink w:anchor="uses">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duss">
              <w:r>
                <w:rPr>
                  <w:rStyle w:val="InternetLink"/>
                  <w:rFonts w:ascii="Times New Roman" w:hAnsi="Times New Roman"/>
                  <w:caps w:val="false"/>
                  <w:smallCaps w:val="false"/>
                  <w:sz w:val="20"/>
                  <w:u w:val="single"/>
                </w:rPr>
                <w:t>Item 3 – Defaults Upon Senior Securities</w:t>
              </w:r>
            </w:hyperlink>
          </w:p>
        </w:tc>
        <w:tc>
          <w:tcPr>
            <w:tcW w:w="230" w:type="dxa"/>
            <w:tcBorders/>
            <w:vAlign w:val="center"/>
          </w:tcPr>
          <w:p>
            <w:pPr>
              <w:pStyle w:val="TableContents"/>
              <w:bidi w:val="0"/>
              <w:spacing w:before="0" w:after="0"/>
              <w:ind w:left="0" w:right="0" w:hanging="0"/>
              <w:jc w:val="center"/>
              <w:rPr/>
            </w:pPr>
            <w:hyperlink w:anchor="duss">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msd">
              <w:r>
                <w:rPr>
                  <w:rStyle w:val="InternetLink"/>
                  <w:rFonts w:ascii="Times New Roman" w:hAnsi="Times New Roman"/>
                  <w:caps w:val="false"/>
                  <w:smallCaps w:val="false"/>
                  <w:sz w:val="20"/>
                  <w:u w:val="single"/>
                </w:rPr>
                <w:t>Item 4 – Mine Safety Disclosures</w:t>
              </w:r>
            </w:hyperlink>
          </w:p>
        </w:tc>
        <w:tc>
          <w:tcPr>
            <w:tcW w:w="230" w:type="dxa"/>
            <w:tcBorders/>
            <w:vAlign w:val="center"/>
          </w:tcPr>
          <w:p>
            <w:pPr>
              <w:pStyle w:val="TableContents"/>
              <w:bidi w:val="0"/>
              <w:spacing w:before="0" w:after="0"/>
              <w:ind w:left="0" w:right="0" w:hanging="0"/>
              <w:jc w:val="center"/>
              <w:rPr/>
            </w:pPr>
            <w:hyperlink w:anchor="msd">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oi">
              <w:r>
                <w:rPr>
                  <w:rStyle w:val="InternetLink"/>
                  <w:rFonts w:ascii="Times New Roman" w:hAnsi="Times New Roman"/>
                  <w:caps w:val="false"/>
                  <w:smallCaps w:val="false"/>
                  <w:sz w:val="20"/>
                  <w:u w:val="single"/>
                </w:rPr>
                <w:t>Item 5 – Other Information</w:t>
              </w:r>
            </w:hyperlink>
          </w:p>
        </w:tc>
        <w:tc>
          <w:tcPr>
            <w:tcW w:w="230" w:type="dxa"/>
            <w:tcBorders/>
            <w:vAlign w:val="center"/>
          </w:tcPr>
          <w:p>
            <w:pPr>
              <w:pStyle w:val="TableContents"/>
              <w:bidi w:val="0"/>
              <w:spacing w:before="0" w:after="0"/>
              <w:ind w:left="0" w:right="0" w:hanging="0"/>
              <w:jc w:val="center"/>
              <w:rPr/>
            </w:pPr>
            <w:hyperlink w:anchor="oi">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ex">
              <w:r>
                <w:rPr>
                  <w:rStyle w:val="InternetLink"/>
                  <w:rFonts w:ascii="Times New Roman" w:hAnsi="Times New Roman"/>
                  <w:caps w:val="false"/>
                  <w:smallCaps w:val="false"/>
                  <w:sz w:val="20"/>
                  <w:u w:val="single"/>
                </w:rPr>
                <w:t>Item 6 – Exhibits</w:t>
              </w:r>
            </w:hyperlink>
          </w:p>
        </w:tc>
        <w:tc>
          <w:tcPr>
            <w:tcW w:w="230" w:type="dxa"/>
            <w:tcBorders/>
            <w:vAlign w:val="center"/>
          </w:tcPr>
          <w:p>
            <w:pPr>
              <w:pStyle w:val="TableContents"/>
              <w:bidi w:val="0"/>
              <w:spacing w:before="0" w:after="0"/>
              <w:ind w:left="0" w:right="0" w:hanging="0"/>
              <w:jc w:val="center"/>
              <w:rPr/>
            </w:pPr>
            <w:hyperlink w:anchor="ex">
              <w:r>
                <w:rPr>
                  <w:rStyle w:val="InternetLink"/>
                  <w:rFonts w:ascii="Times New Roman" w:hAnsi="Times New Roman"/>
                  <w:caps w:val="false"/>
                  <w:smallCaps w:val="false"/>
                  <w:sz w:val="20"/>
                  <w:u w:val="single"/>
                </w:rPr>
                <w:t>26</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u w:val="single"/>
                </w:rPr>
                <w:t>Signatures</w:t>
              </w:r>
            </w:hyperlink>
          </w:p>
        </w:tc>
        <w:tc>
          <w:tcPr>
            <w:tcW w:w="230"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u w:val="single"/>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par value and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0"/>
        <w:gridCol w:w="60"/>
        <w:gridCol w:w="125"/>
        <w:gridCol w:w="758"/>
        <w:gridCol w:w="80"/>
        <w:gridCol w:w="60"/>
        <w:gridCol w:w="147"/>
        <w:gridCol w:w="892"/>
        <w:gridCol w:w="83"/>
      </w:tblGrid>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3"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1,100,000,000 shares authorized; 917,285,149 and 917,285,149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288,270</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(278,253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subsidiary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29,140</w:t>
            </w:r>
          </w:p>
        </w:tc>
        <w:tc>
          <w:tcPr>
            <w:tcW w:w="83"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sop"/>
      <w:bookmarkEnd w:id="4"/>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5"/>
        <w:gridCol w:w="60"/>
        <w:gridCol w:w="133"/>
        <w:gridCol w:w="1131"/>
        <w:gridCol w:w="85"/>
        <w:gridCol w:w="63"/>
        <w:gridCol w:w="133"/>
        <w:gridCol w:w="1131"/>
        <w:gridCol w:w="84"/>
      </w:tblGrid>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4"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4"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Licensing and royalties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basic and diluted: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attributable to Liquidmetal Technologies shareholders,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weighted average shares - basic and diluted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5" w:name="se"/>
      <w:bookmarkEnd w:id="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4"/>
        <w:gridCol w:w="60"/>
        <w:gridCol w:w="300"/>
        <w:gridCol w:w="400"/>
        <w:gridCol w:w="60"/>
        <w:gridCol w:w="60"/>
        <w:gridCol w:w="60"/>
        <w:gridCol w:w="920"/>
        <w:gridCol w:w="60"/>
        <w:gridCol w:w="60"/>
        <w:gridCol w:w="182"/>
        <w:gridCol w:w="483"/>
        <w:gridCol w:w="60"/>
        <w:gridCol w:w="60"/>
        <w:gridCol w:w="159"/>
        <w:gridCol w:w="758"/>
        <w:gridCol w:w="60"/>
        <w:gridCol w:w="60"/>
        <w:gridCol w:w="120"/>
        <w:gridCol w:w="665"/>
        <w:gridCol w:w="60"/>
        <w:gridCol w:w="60"/>
        <w:gridCol w:w="132"/>
        <w:gridCol w:w="803"/>
        <w:gridCol w:w="80"/>
        <w:gridCol w:w="60"/>
        <w:gridCol w:w="294"/>
        <w:gridCol w:w="781"/>
        <w:gridCol w:w="60"/>
        <w:gridCol w:w="60"/>
        <w:gridCol w:w="239"/>
        <w:gridCol w:w="566"/>
        <w:gridCol w:w="80"/>
        <w:gridCol w:w="60"/>
        <w:gridCol w:w="110"/>
        <w:gridCol w:w="515"/>
        <w:gridCol w:w="84"/>
      </w:tblGrid>
      <w:tr>
        <w:trPr/>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part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84" w:type="dxa"/>
            <w:tcBorders/>
            <w:vAlign w:val="center"/>
          </w:tcPr>
          <w:p>
            <w:pPr>
              <w:pStyle w:val="TableContents"/>
              <w:bidi w:val="0"/>
              <w:spacing w:before="0" w:after="283"/>
              <w:jc w:val="left"/>
              <w:rPr/>
            </w:pPr>
            <w:r>
              <w:rPr/>
              <w:t> </w:t>
            </w:r>
          </w:p>
        </w:tc>
      </w:tr>
      <w:tr>
        <w:trPr/>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4" w:type="dxa"/>
            <w:tcBorders/>
            <w:vAlign w:val="center"/>
          </w:tcPr>
          <w:p>
            <w:pPr>
              <w:pStyle w:val="TableContents"/>
              <w:bidi w:val="0"/>
              <w:spacing w:before="0" w:after="283"/>
              <w:jc w:val="left"/>
              <w:rPr/>
            </w:pPr>
            <w:r>
              <w:rPr/>
              <w:t> </w:t>
            </w:r>
          </w:p>
        </w:tc>
      </w:tr>
      <w:tr>
        <w:trPr/>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(278,253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29,140</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Balance - March 31, 2025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(278,821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28,646</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2023</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(276,743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30,590</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84" w:type="dxa"/>
            <w:tcBorders/>
            <w:shd w:fill="CCEEFF" w:val="clear"/>
            <w:vAlign w:val="center"/>
          </w:tcPr>
          <w:p>
            <w:pPr>
              <w:pStyle w:val="TableContents"/>
              <w:bidi w:val="0"/>
              <w:spacing w:before="0" w:after="283"/>
              <w:jc w:val="left"/>
              <w:rPr/>
            </w:pPr>
            <w:r>
              <w:rPr/>
              <w:t> </w:t>
            </w:r>
          </w:p>
        </w:tc>
      </w:tr>
      <w:tr>
        <w:trPr/>
        <w:tc>
          <w:tcPr>
            <w:tcW w:w="1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5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2024</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(277,057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30,309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ci"/>
      <w:bookmarkEnd w:id="6"/>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48" w:type="dxa"/>
        <w:jc w:val="left"/>
        <w:tblInd w:w="0" w:type="dxa"/>
        <w:tblLayout w:type="fixed"/>
        <w:tblCellMar>
          <w:top w:w="0" w:type="dxa"/>
          <w:left w:w="0" w:type="dxa"/>
          <w:bottom w:w="0" w:type="dxa"/>
          <w:right w:w="0" w:type="dxa"/>
        </w:tblCellMar>
      </w:tblPr>
      <w:tblGrid>
        <w:gridCol w:w="6365"/>
        <w:gridCol w:w="60"/>
        <w:gridCol w:w="280"/>
        <w:gridCol w:w="885"/>
        <w:gridCol w:w="179"/>
        <w:gridCol w:w="134"/>
        <w:gridCol w:w="280"/>
        <w:gridCol w:w="885"/>
        <w:gridCol w:w="8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283"/>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 on available-for-sale securities</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7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17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4"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f"/>
      <w:bookmarkEnd w:id="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73" w:type="dxa"/>
        <w:jc w:val="left"/>
        <w:tblInd w:w="0" w:type="dxa"/>
        <w:tblLayout w:type="fixed"/>
        <w:tblCellMar>
          <w:top w:w="0" w:type="dxa"/>
          <w:left w:w="0" w:type="dxa"/>
          <w:bottom w:w="0" w:type="dxa"/>
          <w:right w:w="0" w:type="dxa"/>
        </w:tblCellMar>
      </w:tblPr>
      <w:tblGrid>
        <w:gridCol w:w="5930"/>
        <w:gridCol w:w="60"/>
        <w:gridCol w:w="228"/>
        <w:gridCol w:w="996"/>
        <w:gridCol w:w="146"/>
        <w:gridCol w:w="109"/>
        <w:gridCol w:w="228"/>
        <w:gridCol w:w="996"/>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investment gains (loss), net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investment gain, net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and liabilities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1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debt securities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(4,658</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debt securities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1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757</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4,900</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9,403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8" w:name="notes"/>
      <w:bookmarkEnd w:id="8"/>
      <w:r>
        <w:rPr>
          <w:rFonts w:ascii="Times New Roman" w:hAnsi="Times New Roman"/>
          <w:b/>
          <w:caps w:val="false"/>
          <w:smallCaps w:val="false"/>
          <w:sz w:val="20"/>
        </w:rPr>
        <w:t>LIQUIDMETAL TECHNOLOGIES, INC. AND SUBSIDIARIES</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r>
      <w:r>
        <w:rPr>
          <w:rFonts w:ascii="Times New Roman" w:hAnsi="Times New Roman"/>
          <w:b/>
          <w:caps w:val="false"/>
          <w:smallCaps w:val="false"/>
          <w:sz w:val="20"/>
        </w:rPr>
        <w:t>For the Three Months Ended March 31,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(numbers in thousands, except percentages,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Technologies, Inc. (the “Company”) is a materials technology company that works with manufacturing and commercial partners to develop and commercialize products made from proprietary amorphous alloys. The Company’s family of alloys consists of a variety of bulk alloys and composites that utilize the advantages offered by amorphous alloys technology. The Company designs, develops, and sells products and custom parts from bulk amorphous alloys to customers in a wide range of industries. The Company also partners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manufacturers and licensees to develop and commercialize Liquidmetal alloy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BASIS OF PRESENTATION AND 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unaudited interim consolidated financial statements as of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have been prepared in accordance with accounting principles generally accepted in the United States of America (“US GAAP”) for interim financial information and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-Q.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any future periods or the year ending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accompanying unaudited consolidated financial statements should be read in conjunction with the Company's </w:t>
      </w:r>
      <w:r>
        <w:rPr>
          <w:rStyle w:val="Emphasis"/>
          <w:rFonts w:ascii="Times New Roman" w:hAnsi="Times New Roman"/>
          <w:caps w:val="false"/>
          <w:smallCaps w:val="false"/>
          <w:sz w:val="20"/>
        </w:rPr>
        <w:t>2023</w:t>
      </w:r>
      <w:r>
        <w:rPr>
          <w:rFonts w:ascii="Times New Roman" w:hAnsi="Times New Roman"/>
          <w:caps w:val="false"/>
          <w:smallCaps w:val="false"/>
          <w:sz w:val="20"/>
        </w:rPr>
        <w: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filed with the Securities and Exchange Commission (“SEC”) on </w:t>
      </w:r>
      <w:r>
        <w:rPr>
          <w:rStyle w:val="Emphasis"/>
          <w:rFonts w:ascii="Times New Roman" w:hAnsi="Times New Roman"/>
          <w:caps w:val="false"/>
          <w:smallCaps w:val="false"/>
          <w:sz w:val="20"/>
        </w:rPr>
        <w:t xml:space="preserve"> 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i/>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March 31, 2025</w:t>
      </w:r>
      <w:r>
        <w:rPr>
          <w:rFonts w:ascii="Times New Roman" w:hAnsi="Times New Roman"/>
          <w:caps w:val="false"/>
          <w:smallCaps w:val="false"/>
          <w:sz w:val="20"/>
        </w:rPr>
        <w:t> and </w:t>
      </w:r>
      <w:r>
        <w:rPr>
          <w:rStyle w:val="Emphasis"/>
          <w:rFonts w:ascii="Times New Roman" w:hAnsi="Times New Roman"/>
          <w:i/>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i/>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March 31, 2025 </w:t>
      </w:r>
      <w:r>
        <w:rPr>
          <w:rFonts w:ascii="Times New Roman" w:hAnsi="Times New Roman"/>
          <w:i/>
          <w:caps w:val="false"/>
          <w:smallCaps w:val="false"/>
          <w:sz w:val="20"/>
        </w:rPr>
        <w:t xml:space="preserve">and </w:t>
      </w:r>
      <w:r>
        <w:rPr>
          <w:rStyle w:val="Emphasis"/>
          <w:rFonts w:ascii="Times New Roman" w:hAnsi="Times New Roman"/>
          <w:i/>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instruments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7" w:type="dxa"/>
        <w:tblLayout w:type="fixed"/>
        <w:tblCellMar>
          <w:top w:w="28" w:type="dxa"/>
          <w:left w:w="28" w:type="dxa"/>
          <w:bottom w:w="28" w:type="dxa"/>
          <w:right w:w="28" w:type="dxa"/>
        </w:tblCellMar>
      </w:tblPr>
      <w:tblGrid>
        <w:gridCol w:w="875"/>
        <w:gridCol w:w="521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w:t>
            </w:r>
          </w:p>
        </w:tc>
        <w:tc>
          <w:tcPr>
            <w:tcW w:w="52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75"/>
        <w:gridCol w:w="933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w:t>
            </w:r>
          </w:p>
        </w:tc>
        <w:tc>
          <w:tcPr>
            <w:tcW w:w="93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Observable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prices, such as quoted prices for similar assets or liabilities; quoted prices in markets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75"/>
        <w:gridCol w:w="9330"/>
      </w:tblGrid>
      <w:tr>
        <w:trPr/>
        <w:tc>
          <w:tcPr>
            <w:tcW w:w="8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w:t>
            </w:r>
          </w:p>
        </w:tc>
        <w:tc>
          <w:tcPr>
            <w:tcW w:w="93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Unobservable inputs that are supported by little or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681" w:type="dxa"/>
        <w:jc w:val="left"/>
        <w:tblInd w:w="0" w:type="dxa"/>
        <w:tblLayout w:type="fixed"/>
        <w:tblCellMar>
          <w:top w:w="28" w:type="dxa"/>
          <w:left w:w="28" w:type="dxa"/>
          <w:bottom w:w="28" w:type="dxa"/>
          <w:right w:w="0" w:type="dxa"/>
        </w:tblCellMar>
      </w:tblPr>
      <w:tblGrid>
        <w:gridCol w:w="3410"/>
        <w:gridCol w:w="60"/>
        <w:gridCol w:w="191"/>
        <w:gridCol w:w="743"/>
        <w:gridCol w:w="60"/>
        <w:gridCol w:w="60"/>
        <w:gridCol w:w="127"/>
        <w:gridCol w:w="492"/>
        <w:gridCol w:w="60"/>
        <w:gridCol w:w="60"/>
        <w:gridCol w:w="127"/>
        <w:gridCol w:w="492"/>
        <w:gridCol w:w="60"/>
        <w:gridCol w:w="60"/>
        <w:gridCol w:w="377"/>
        <w:gridCol w:w="242"/>
        <w:gridCol w:w="60"/>
      </w:tblGrid>
      <w:tr>
        <w:trPr/>
        <w:tc>
          <w:tcPr>
            <w:tcW w:w="341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292" w:type="dxa"/>
        <w:jc w:val="left"/>
        <w:tblInd w:w="0" w:type="dxa"/>
        <w:tblLayout w:type="fixed"/>
        <w:tblCellMar>
          <w:top w:w="28" w:type="dxa"/>
          <w:left w:w="28" w:type="dxa"/>
          <w:bottom w:w="28" w:type="dxa"/>
          <w:right w:w="0" w:type="dxa"/>
        </w:tblCellMar>
      </w:tblPr>
      <w:tblGrid>
        <w:gridCol w:w="3410"/>
        <w:gridCol w:w="60"/>
        <w:gridCol w:w="60"/>
        <w:gridCol w:w="485"/>
        <w:gridCol w:w="60"/>
        <w:gridCol w:w="60"/>
        <w:gridCol w:w="68"/>
        <w:gridCol w:w="551"/>
        <w:gridCol w:w="60"/>
        <w:gridCol w:w="60"/>
        <w:gridCol w:w="68"/>
        <w:gridCol w:w="551"/>
        <w:gridCol w:w="60"/>
        <w:gridCol w:w="60"/>
        <w:gridCol w:w="265"/>
        <w:gridCol w:w="354"/>
        <w:gridCol w:w="60"/>
      </w:tblGrid>
      <w:tr>
        <w:trPr/>
        <w:tc>
          <w:tcPr>
            <w:tcW w:w="341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545"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leases its manufacturing facility under a long-term contract, which is accounted for as an operating lease. The lease provides for a fixed base rent and variable payments comprised of reimbursements for property taxes, insurance, utilities, and common area maintenance. The lease has a term of 5 years ending on </w:t>
      </w:r>
      <w:r>
        <w:rPr>
          <w:rStyle w:val="Emphasis"/>
          <w:rFonts w:ascii="Times New Roman" w:hAnsi="Times New Roman"/>
          <w:caps w:val="false"/>
          <w:smallCaps w:val="false"/>
          <w:sz w:val="20"/>
        </w:rPr>
        <w:t xml:space="preserve">April 30, 2030. </w:t>
      </w:r>
      <w:r>
        <w:rPr>
          <w:rFonts w:ascii="Times New Roman" w:hAnsi="Times New Roman"/>
          <w:caps w:val="false"/>
          <w:smallCaps w:val="false"/>
          <w:sz w:val="20"/>
        </w:rPr>
        <w:t>In accordance with ASC </w:t>
      </w:r>
      <w:r>
        <w:rPr>
          <w:rStyle w:val="Emphasis"/>
          <w:rFonts w:ascii="Times New Roman" w:hAnsi="Times New Roman"/>
          <w:caps w:val="false"/>
          <w:smallCaps w:val="false"/>
          <w:sz w:val="20"/>
        </w:rPr>
        <w:t>842,</w:t>
      </w:r>
      <w:r>
        <w:rPr>
          <w:rFonts w:ascii="Times New Roman" w:hAnsi="Times New Roman"/>
          <w:caps w:val="false"/>
          <w:smallCaps w:val="false"/>
          <w:sz w:val="20"/>
        </w:rPr>
        <w:t> Leases, lease income, which includes escalating rents over the term of the lease, is recorded on a straight-line basis over the expected lease term. The difference between lease income and payments received is recorded as a rent receivable, which is included as a prepaid expense in the consolidated balance sheets. Amounts paid for broker commissions represent prepaid direct lease costs and will be amortized as an off-set to lease income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Other Recent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recent accounting pronouncements issued by the FASB (including its Emerging Issues Task Force)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or are </w:t>
      </w:r>
      <w:r>
        <w:rPr>
          <w:rStyle w:val="Emphasis"/>
          <w:rFonts w:ascii="Times New Roman" w:hAnsi="Times New Roman"/>
          <w:caps w:val="false"/>
          <w:smallCaps w:val="false"/>
          <w:sz w:val="20"/>
        </w:rPr>
        <w:t>not</w:t>
      </w:r>
      <w:r>
        <w:rPr>
          <w:rFonts w:ascii="Times New Roman" w:hAnsi="Times New Roman"/>
          <w:caps w:val="false"/>
          <w:smallCaps w:val="false"/>
          <w:sz w:val="20"/>
        </w:rPr>
        <w:t> believed by management to have a material impact on the Company's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 2022, </w:t>
      </w:r>
      <w:r>
        <w:rPr>
          <w:rFonts w:ascii="Times New Roman" w:hAnsi="Times New Roman"/>
          <w:caps w:val="false"/>
          <w:smallCaps w:val="false"/>
          <w:sz w:val="20"/>
        </w:rPr>
        <w:t>the Company entered into a manufacturing agreement (“Manufacturing Agreement”) with Dongguan Yihao Metal Materials Technology Co. Ltd. (“Yihao”) to become the primary contract manufacturer of the Company’s products. Under the Manufacturing Agreement, which has a term of </w:t>
      </w:r>
      <w:r>
        <w:rPr>
          <w:rStyle w:val="Emphasis"/>
          <w:rFonts w:ascii="Times New Roman" w:hAnsi="Times New Roman"/>
          <w:caps w:val="false"/>
          <w:smallCaps w:val="false"/>
          <w:sz w:val="20"/>
        </w:rPr>
        <w:t>five</w:t>
      </w:r>
      <w:r>
        <w:rPr>
          <w:rFonts w:ascii="Times New Roman" w:hAnsi="Times New Roman"/>
          <w:caps w:val="false"/>
          <w:smallCaps w:val="false"/>
          <w:sz w:val="20"/>
        </w:rPr>
        <w:t>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16, 2017, </w:t>
      </w:r>
      <w:r>
        <w:rPr>
          <w:rFonts w:ascii="Times New Roman" w:hAnsi="Times New Roman"/>
          <w:caps w:val="false"/>
          <w:smallCaps w:val="false"/>
          <w:sz w:val="20"/>
        </w:rPr>
        <w:t>the Company purchased a 41,000 square foot facility (the “Facility”) located in Lake Forest, CA, where operations commenced during  </w:t>
      </w:r>
      <w:r>
        <w:rPr>
          <w:rStyle w:val="Emphasis"/>
          <w:rFonts w:ascii="Times New Roman" w:hAnsi="Times New Roman"/>
          <w:caps w:val="false"/>
          <w:smallCaps w:val="false"/>
          <w:sz w:val="20"/>
        </w:rPr>
        <w:t xml:space="preserve"> July 2017. </w:t>
      </w:r>
      <w:r>
        <w:rPr>
          <w:rFonts w:ascii="Times New Roman" w:hAnsi="Times New Roman"/>
          <w:caps w:val="false"/>
          <w:smallCaps w:val="false"/>
          <w:sz w:val="20"/>
        </w:rPr>
        <w:t>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23, 2020, 20321</w:t>
      </w:r>
      <w:r>
        <w:rPr>
          <w:rFonts w:ascii="Times New Roman" w:hAnsi="Times New Roman"/>
          <w:caps w:val="false"/>
          <w:smallCaps w:val="false"/>
          <w:sz w:val="20"/>
        </w:rPr>
        <w:t> Valencia, LLC, a Delaware limited liability company and wholly owned subsidiary of the Company, entered into a lease agreement pursuant to which the Company leased to MatterHackers, Inc., a Delaware corporation (“Tenant”), an approximately 32,534 square foot portion of the Facility. The lease term was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months and expired on  </w:t>
      </w:r>
      <w:r>
        <w:rPr>
          <w:rStyle w:val="Emphasis"/>
          <w:rFonts w:ascii="Times New Roman" w:hAnsi="Times New Roman"/>
          <w:caps w:val="false"/>
          <w:smallCaps w:val="false"/>
          <w:sz w:val="20"/>
        </w:rPr>
        <w:t xml:space="preserve"> April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the Company entered into a new lease agreement (the “Facility Lease”) for a 5 year term commencing on </w:t>
      </w:r>
      <w:r>
        <w:rPr>
          <w:rStyle w:val="Emphasis"/>
          <w:rFonts w:ascii="Times New Roman" w:hAnsi="Times New Roman"/>
          <w:caps w:val="false"/>
          <w:smallCaps w:val="false"/>
          <w:sz w:val="20"/>
        </w:rPr>
        <w:t xml:space="preserve">May 1, 2025 </w:t>
      </w:r>
      <w:r>
        <w:rPr>
          <w:rFonts w:ascii="Times New Roman" w:hAnsi="Times New Roman"/>
          <w:caps w:val="false"/>
          <w:smallCaps w:val="false"/>
          <w:sz w:val="20"/>
        </w:rPr>
        <w:t xml:space="preserve">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u w:val="single"/>
        </w:rPr>
        <w:t>2016</w:t>
      </w:r>
      <w:r>
        <w:rPr>
          <w:rFonts w:ascii="Times New Roman" w:hAnsi="Times New Roman"/>
          <w:caps w:val="false"/>
          <w:smallCaps w:val="false"/>
          <w:sz w:val="20"/>
          <w:u w:val="single"/>
        </w:rPr>
        <w:t> </w:t>
      </w:r>
      <w:r>
        <w:rPr>
          <w:rFonts w:ascii="Times New Roman" w:hAnsi="Times New Roman"/>
          <w:b/>
          <w:caps w:val="false"/>
          <w:smallCaps w:val="false"/>
          <w:sz w:val="20"/>
          <w:u w:val="single"/>
        </w:rPr>
        <w:t>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and the remaining 200,000,000 shares at $0.15 per share and 100,000,000 shares at $0.25 per share for an aggregate purchase price of $55,000 on  </w:t>
      </w:r>
      <w:r>
        <w:rPr>
          <w:rStyle w:val="Emphasis"/>
          <w:rFonts w:ascii="Times New Roman" w:hAnsi="Times New Roman"/>
          <w:caps w:val="false"/>
          <w:smallCaps w:val="false"/>
          <w:sz w:val="20"/>
        </w:rPr>
        <w:t xml:space="preserve"> October 26,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addition to the shares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issued to the Investor a warrant to acquire 10,066,809 shares of common stock (of which the right to exercise 2,609,913 of the warrant shares vested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and the right to exercise the remaining 7,456,896 warrant shares vested on  </w:t>
      </w:r>
      <w:r>
        <w:rPr>
          <w:rStyle w:val="Emphasis"/>
          <w:rFonts w:ascii="Times New Roman" w:hAnsi="Times New Roman"/>
          <w:caps w:val="false"/>
          <w:smallCaps w:val="false"/>
          <w:sz w:val="20"/>
        </w:rPr>
        <w:t xml:space="preserve"> October 26, 2016 </w:t>
      </w:r>
      <w:r>
        <w:rPr>
          <w:rFonts w:ascii="Times New Roman" w:hAnsi="Times New Roman"/>
          <w:caps w:val="false"/>
          <w:smallCaps w:val="false"/>
          <w:sz w:val="20"/>
        </w:rPr>
        <w:t>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and DongGuan Eontec Co., Ltd., a Hong Kong corporation (“Eontec”), entered into a Parallel License Agreement (the “License Agreement”) pursuant to which the Company and Eontec agreed to perpetually cross-license their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31, 2020, </w:t>
      </w:r>
      <w:r>
        <w:rPr>
          <w:rFonts w:ascii="Times New Roman" w:hAnsi="Times New Roman"/>
          <w:caps w:val="false"/>
          <w:smallCaps w:val="false"/>
          <w:sz w:val="20"/>
        </w:rPr>
        <w:t xml:space="preserve">the Company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the Company licensed to Eutectix specified equipment owned by the Company and also licensed various patents and technical information related to the Company’s proprietary technology. The Agreement expired on </w:t>
      </w:r>
      <w:r>
        <w:rPr>
          <w:rStyle w:val="Emphasis"/>
          <w:rFonts w:ascii="Times New Roman" w:hAnsi="Times New Roman"/>
          <w:caps w:val="false"/>
          <w:smallCaps w:val="false"/>
          <w:sz w:val="20"/>
        </w:rPr>
        <w:t>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5, 2010, </w:t>
      </w:r>
      <w:r>
        <w:rPr>
          <w:rFonts w:ascii="Times New Roman" w:hAnsi="Times New Roman"/>
          <w:caps w:val="false"/>
          <w:smallCaps w:val="false"/>
          <w:sz w:val="20"/>
        </w:rPr>
        <w:t>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Sublicense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 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the Company’s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March 2009, </w:t>
      </w:r>
      <w:r>
        <w:rPr>
          <w:rFonts w:ascii="Times New Roman" w:hAnsi="Times New Roman"/>
          <w:caps w:val="false"/>
          <w:smallCaps w:val="false"/>
          <w:sz w:val="20"/>
        </w:rPr>
        <w:t>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 March 2011, </w:t>
      </w:r>
      <w:r>
        <w:rPr>
          <w:rFonts w:ascii="Times New Roman" w:hAnsi="Times New Roman"/>
          <w:caps w:val="false"/>
          <w:smallCaps w:val="false"/>
          <w:sz w:val="20"/>
        </w:rPr>
        <w:t>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fair value, and unrealized gains (losses)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8981" w:type="dxa"/>
        <w:jc w:val="left"/>
        <w:tblInd w:w="0" w:type="dxa"/>
        <w:tblLayout w:type="fixed"/>
        <w:tblCellMar>
          <w:top w:w="0" w:type="dxa"/>
          <w:left w:w="0" w:type="dxa"/>
          <w:bottom w:w="0" w:type="dxa"/>
          <w:right w:w="0" w:type="dxa"/>
        </w:tblCellMar>
      </w:tblPr>
      <w:tblGrid>
        <w:gridCol w:w="3155"/>
        <w:gridCol w:w="1220"/>
        <w:gridCol w:w="60"/>
        <w:gridCol w:w="155"/>
        <w:gridCol w:w="734"/>
        <w:gridCol w:w="60"/>
        <w:gridCol w:w="60"/>
        <w:gridCol w:w="204"/>
        <w:gridCol w:w="970"/>
        <w:gridCol w:w="60"/>
        <w:gridCol w:w="60"/>
        <w:gridCol w:w="155"/>
        <w:gridCol w:w="734"/>
        <w:gridCol w:w="60"/>
        <w:gridCol w:w="60"/>
        <w:gridCol w:w="204"/>
        <w:gridCol w:w="970"/>
        <w:gridCol w:w="60"/>
      </w:tblGrid>
      <w:tr>
        <w:trPr/>
        <w:tc>
          <w:tcPr>
            <w:tcW w:w="3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Longest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Date</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and agency securities</w:t>
            </w:r>
          </w:p>
        </w:tc>
        <w:tc>
          <w:tcPr>
            <w:tcW w:w="122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13,488</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122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Income from these investments totaled $251 and $236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2024 </w:t>
      </w:r>
      <w:r>
        <w:rPr>
          <w:rFonts w:ascii="Times New Roman" w:hAnsi="Times New Roman"/>
          <w:caps w:val="false"/>
          <w:smallCaps w:val="false"/>
          <w:sz w:val="20"/>
        </w:rPr>
        <w:t>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 Such amounts are included as a portion of interest and investment income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Based on the Company’s review of its debt securities that are individually in an unrealized loss position at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all investments are current on their scheduled interest and dividend payments.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likely that the Company will be required to sell these securities prior to recovering their amortized cost. As such,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consider these securities to be other-than-temporarily impaired as of </w:t>
      </w:r>
      <w:r>
        <w:rPr>
          <w:rStyle w:val="Emphasis"/>
          <w:rFonts w:ascii="Times New Roman" w:hAnsi="Times New Roman"/>
          <w:caps w:val="false"/>
          <w:smallCaps w:val="false"/>
          <w:sz w:val="20"/>
        </w:rPr>
        <w:t xml:space="preserve">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in debt securities activities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286" w:type="dxa"/>
        <w:jc w:val="left"/>
        <w:tblInd w:w="0" w:type="dxa"/>
        <w:tblLayout w:type="fixed"/>
        <w:tblCellMar>
          <w:top w:w="0" w:type="dxa"/>
          <w:left w:w="0" w:type="dxa"/>
          <w:bottom w:w="0" w:type="dxa"/>
          <w:right w:w="0" w:type="dxa"/>
        </w:tblCellMar>
      </w:tblPr>
      <w:tblGrid>
        <w:gridCol w:w="4505"/>
        <w:gridCol w:w="60"/>
        <w:gridCol w:w="202"/>
        <w:gridCol w:w="957"/>
        <w:gridCol w:w="129"/>
        <w:gridCol w:w="97"/>
        <w:gridCol w:w="202"/>
        <w:gridCol w:w="1054"/>
        <w:gridCol w:w="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at cost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 from sale of investment in debt securities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management fees and other fees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Withdrawals from debt securities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ending balance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13,685</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 current portion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(8,097</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TRADE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138" w:type="dxa"/>
        <w:jc w:val="left"/>
        <w:tblInd w:w="0" w:type="dxa"/>
        <w:tblLayout w:type="fixed"/>
        <w:tblCellMar>
          <w:top w:w="0" w:type="dxa"/>
          <w:left w:w="0" w:type="dxa"/>
          <w:bottom w:w="0" w:type="dxa"/>
          <w:right w:w="0" w:type="dxa"/>
        </w:tblCellMar>
      </w:tblPr>
      <w:tblGrid>
        <w:gridCol w:w="1745"/>
        <w:gridCol w:w="60"/>
        <w:gridCol w:w="253"/>
        <w:gridCol w:w="681"/>
        <w:gridCol w:w="60"/>
        <w:gridCol w:w="60"/>
        <w:gridCol w:w="429"/>
        <w:gridCol w:w="790"/>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Allowance</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3755"/>
        <w:gridCol w:w="60"/>
        <w:gridCol w:w="253"/>
        <w:gridCol w:w="681"/>
        <w:gridCol w:w="60"/>
        <w:gridCol w:w="60"/>
        <w:gridCol w:w="330"/>
        <w:gridCol w:w="889"/>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service invoices</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short term</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receivables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793" w:type="dxa"/>
        <w:jc w:val="left"/>
        <w:tblInd w:w="0" w:type="dxa"/>
        <w:tblLayout w:type="fixed"/>
        <w:tblCellMar>
          <w:top w:w="0" w:type="dxa"/>
          <w:left w:w="0" w:type="dxa"/>
          <w:bottom w:w="0" w:type="dxa"/>
          <w:right w:w="0" w:type="dxa"/>
        </w:tblCellMar>
      </w:tblPr>
      <w:tblGrid>
        <w:gridCol w:w="1400"/>
        <w:gridCol w:w="60"/>
        <w:gridCol w:w="328"/>
        <w:gridCol w:w="606"/>
        <w:gridCol w:w="60"/>
        <w:gridCol w:w="60"/>
        <w:gridCol w:w="429"/>
        <w:gridCol w:w="790"/>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3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458" w:type="dxa"/>
        <w:jc w:val="left"/>
        <w:tblInd w:w="0" w:type="dxa"/>
        <w:tblLayout w:type="fixed"/>
        <w:tblCellMar>
          <w:top w:w="0" w:type="dxa"/>
          <w:left w:w="0" w:type="dxa"/>
          <w:bottom w:w="0" w:type="dxa"/>
          <w:right w:w="0" w:type="dxa"/>
        </w:tblCellMar>
      </w:tblPr>
      <w:tblGrid>
        <w:gridCol w:w="4025"/>
        <w:gridCol w:w="60"/>
        <w:gridCol w:w="163"/>
        <w:gridCol w:w="771"/>
        <w:gridCol w:w="80"/>
        <w:gridCol w:w="60"/>
        <w:gridCol w:w="211"/>
        <w:gridCol w:w="1008"/>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Depreciation expense for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were $78 and $78, respectively. Such amounts were included in selling, marketing, general, and administrative expenses within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PATENTS AND TRADEMARKS,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and trademarks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408" w:type="dxa"/>
        <w:jc w:val="left"/>
        <w:tblInd w:w="0" w:type="dxa"/>
        <w:tblLayout w:type="fixed"/>
        <w:tblCellMar>
          <w:top w:w="0" w:type="dxa"/>
          <w:left w:w="0" w:type="dxa"/>
          <w:bottom w:w="0" w:type="dxa"/>
          <w:right w:w="0" w:type="dxa"/>
        </w:tblCellMar>
      </w:tblPr>
      <w:tblGrid>
        <w:gridCol w:w="2975"/>
        <w:gridCol w:w="60"/>
        <w:gridCol w:w="174"/>
        <w:gridCol w:w="760"/>
        <w:gridCol w:w="80"/>
        <w:gridCol w:w="60"/>
        <w:gridCol w:w="227"/>
        <w:gridCol w:w="992"/>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The Company amortizes capitalized patents and trademarks over an average of 10-to-17-year periods. Amortization expense for patents and trademarks was $4 and $4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118" w:type="dxa"/>
        <w:jc w:val="left"/>
        <w:tblInd w:w="0" w:type="dxa"/>
        <w:tblLayout w:type="fixed"/>
        <w:tblCellMar>
          <w:top w:w="0" w:type="dxa"/>
          <w:left w:w="0" w:type="dxa"/>
          <w:bottom w:w="0" w:type="dxa"/>
          <w:right w:w="0" w:type="dxa"/>
        </w:tblCellMar>
      </w:tblPr>
      <w:tblGrid>
        <w:gridCol w:w="3725"/>
        <w:gridCol w:w="60"/>
        <w:gridCol w:w="328"/>
        <w:gridCol w:w="606"/>
        <w:gridCol w:w="60"/>
        <w:gridCol w:w="60"/>
        <w:gridCol w:w="429"/>
        <w:gridCol w:w="790"/>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Utility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long term</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3215"/>
        <w:gridCol w:w="60"/>
        <w:gridCol w:w="253"/>
        <w:gridCol w:w="681"/>
        <w:gridCol w:w="60"/>
        <w:gridCol w:w="60"/>
        <w:gridCol w:w="330"/>
        <w:gridCol w:w="88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audit fees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OTHER CURRENT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long-term liabilities was $902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and consisted of $859 of long-term, aged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parties that have been outstanding for more than 5 years. Also included in the balance is $43 in tenant deposits under the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STOCK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provided for the grant of stock options to officers, employees, consultants and directors of the Company and its subsidiaries. Under this plan, the Company had outstanding grants of options to purchase 3,048,000 and 3,073,000 shares of the Company’s common stock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June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were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Under this plan, the Company had outstanding grants of options to purchase 37,844,992 and 23,511,667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January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FASB ASC </w:t>
      </w:r>
      <w:r>
        <w:rPr>
          <w:rStyle w:val="Emphasis"/>
          <w:rFonts w:ascii="Times New Roman" w:hAnsi="Times New Roman"/>
          <w:caps w:val="false"/>
          <w:smallCaps w:val="false"/>
          <w:sz w:val="20"/>
        </w:rPr>
        <w:t>718,</w:t>
      </w:r>
      <w:r>
        <w:rPr>
          <w:rFonts w:ascii="Times New Roman" w:hAnsi="Times New Roman"/>
          <w:caps w:val="false"/>
          <w:smallCaps w:val="false"/>
          <w:sz w:val="20"/>
        </w:rPr>
        <w:t> Compensation – Stock Compensation, requires all share-based payments to employees, including grants of employee stock options, to be recognized in the financial statements based on their fair values. Under ASC </w:t>
      </w:r>
      <w:r>
        <w:rPr>
          <w:rStyle w:val="Emphasis"/>
          <w:rFonts w:ascii="Times New Roman" w:hAnsi="Times New Roman"/>
          <w:caps w:val="false"/>
          <w:smallCaps w:val="false"/>
          <w:sz w:val="20"/>
        </w:rPr>
        <w:t>718,</w:t>
      </w:r>
      <w:r>
        <w:rPr>
          <w:rFonts w:ascii="Times New Roman" w:hAnsi="Times New Roman"/>
          <w:caps w:val="false"/>
          <w:smallCaps w:val="false"/>
          <w:sz w:val="20"/>
        </w:rPr>
        <w:t>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Stock based compensation expense attributable to these plans was $54 and $25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The risk-free rate used for the period within the expected life of the options is based on U.S. Treasury rates in effect at the time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FACILITY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minimum rents due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3534" w:type="dxa"/>
        <w:jc w:val="left"/>
        <w:tblInd w:w="0" w:type="dxa"/>
        <w:tblLayout w:type="fixed"/>
        <w:tblCellMar>
          <w:top w:w="28" w:type="dxa"/>
          <w:left w:w="28" w:type="dxa"/>
          <w:bottom w:w="28" w:type="dxa"/>
          <w:right w:w="0" w:type="dxa"/>
        </w:tblCellMar>
      </w:tblPr>
      <w:tblGrid>
        <w:gridCol w:w="2480"/>
        <w:gridCol w:w="60"/>
        <w:gridCol w:w="191"/>
        <w:gridCol w:w="743"/>
        <w:gridCol w:w="60"/>
      </w:tblGrid>
      <w:tr>
        <w:trPr/>
        <w:tc>
          <w:tcPr>
            <w:tcW w:w="24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Base Rents</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 nine months)</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double" w:sz="6"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double" w:sz="6"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60" w:type="dxa"/>
            <w:tcBorders>
              <w:left w:val="single" w:sz="2" w:space="0" w:color="000000"/>
              <w:bottom w:val="single" w:sz="2" w:space="0" w:color="000000"/>
              <w:right w:val="single" w:sz="2" w:space="0" w:color="000000"/>
            </w:tcBorders>
            <w:tcMar>
              <w:top w:w="0" w:type="dxa"/>
              <w:bottom w:w="45"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Options to purchase 40,892,992 shares of common stock at prices ranging from $0.05 to $0.38 per share were outstanding at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Options to purchase 26,724,667 shares of common stock at prices ranging from $0.05 to $0.38 per share were outstanding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Warrants to purchase 10,066,809 shares of common stock, priced at $0.07 per share, outstanding at each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March 31, 2024 </w:t>
      </w:r>
      <w:r>
        <w:rPr>
          <w:rFonts w:ascii="Times New Roman" w:hAnsi="Times New Roman"/>
          <w:caps w:val="false"/>
          <w:smallCaps w:val="false"/>
          <w:sz w:val="20"/>
        </w:rPr>
        <w:t>were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providing for the purchase of 405,000,000 shares of the Company’s common stock for an aggregate purchase price of $63,400. Liquidmetal Technology Limited was a newly formed company owned by our Chairman, Professor Li. 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and also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and Eontec entered into a license agreement, pursuant to which the Company and Eontec entered into a cross-license of their respective technologies. Eontec is an affiliate of Yihao which is currently the Company’s primary contract manufacturer.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Professor Li is a greater-than 5% beneficial owner of the Company and serves as the Company’s Chairman. Equipment and services procured from Yihao were $117 and $115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Company has outstanding payables to Yihao of $59 and $70,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Mr. Abdi Mahamedi resigned as a director of the Company. In connection with Mr. Mahamedi’s resignation, the Board of Directors of the Company approved an amendment to Mr. Mahamedi’s previously granted options to purchase an aggregate of 1,870,000 shares of Company common stock to provide for the extension of the exercise period of the options through  </w:t>
      </w:r>
      <w:r>
        <w:rPr>
          <w:rStyle w:val="Emphasis"/>
          <w:rFonts w:ascii="Times New Roman" w:hAnsi="Times New Roman"/>
          <w:caps w:val="false"/>
          <w:smallCaps w:val="false"/>
          <w:sz w:val="20"/>
        </w:rPr>
        <w:t xml:space="preserve"> May 10, 2025. </w:t>
      </w:r>
      <w:r>
        <w:rPr>
          <w:rFonts w:ascii="Times New Roman" w:hAnsi="Times New Roman"/>
          <w:caps w:val="false"/>
          <w:smallCaps w:val="false"/>
          <w:sz w:val="20"/>
        </w:rPr>
        <w:t>Upon Mr. Mahamedi’s resignation as a director, the Company entered into a Consulting Agreement, dated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with Rosewood LLC pursuant to which Mr. Mahamedi as the owner of Rosewood LLC will assess and present business opportunities for the licensing and sublicensing of the Company’s technology. Mr. Mahamedi will also provide business development services and perform other special projects as requested by the Company. The Consulting Agreement has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 subject to the right of the Company or Mr. Mahamedi to terminate the agreement at any time after  </w:t>
      </w:r>
      <w:r>
        <w:rPr>
          <w:rStyle w:val="Emphasis"/>
          <w:rFonts w:ascii="Times New Roman" w:hAnsi="Times New Roman"/>
          <w:caps w:val="false"/>
          <w:smallCaps w:val="false"/>
          <w:sz w:val="20"/>
        </w:rPr>
        <w:t xml:space="preserve"> December 1, 2022 </w:t>
      </w:r>
      <w:r>
        <w:rPr>
          <w:rFonts w:ascii="Times New Roman" w:hAnsi="Times New Roman"/>
          <w:caps w:val="false"/>
          <w:smallCaps w:val="false"/>
          <w:sz w:val="20"/>
        </w:rPr>
        <w:t>and subject to certain other early-termination rights. As sole consideration for the Consulting Agreement, the Company granted to Mr. Mahamedi an option to purchase up to 2.0 million shares of Company common stock at an exercise price of the closing market price of the Company’s common stock 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that will vest 33% on the </w:t>
      </w:r>
      <w:r>
        <w:rPr>
          <w:rStyle w:val="Emphasis"/>
          <w:rFonts w:ascii="Times New Roman" w:hAnsi="Times New Roman"/>
          <w:caps w:val="false"/>
          <w:smallCaps w:val="false"/>
          <w:sz w:val="20"/>
        </w:rPr>
        <w:t>first</w:t>
      </w:r>
      <w:r>
        <w:rPr>
          <w:rFonts w:ascii="Times New Roman" w:hAnsi="Times New Roman"/>
          <w:caps w:val="false"/>
          <w:smallCaps w:val="false"/>
          <w:sz w:val="20"/>
        </w:rPr>
        <w:t> anniversary of the grant date and the remainder vesting monthly over the ensuing </w:t>
      </w:r>
      <w:r>
        <w:rPr>
          <w:rStyle w:val="Emphasis"/>
          <w:rFonts w:ascii="Times New Roman" w:hAnsi="Times New Roman"/>
          <w:caps w:val="false"/>
          <w:smallCaps w:val="false"/>
          <w:sz w:val="20"/>
        </w:rPr>
        <w:t>two</w:t>
      </w:r>
      <w:r>
        <w:rPr>
          <w:rFonts w:ascii="Times New Roman" w:hAnsi="Times New Roman"/>
          <w:caps w:val="false"/>
          <w:smallCaps w:val="false"/>
          <w:sz w:val="20"/>
        </w:rPr>
        <w:t> years, provided that Mr. Mahamedi continues to be engaged as a consultant on each such vesting date. The options have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follows the guidance in FASB ASC Topic </w:t>
      </w:r>
      <w:r>
        <w:rPr>
          <w:rStyle w:val="Emphasis"/>
          <w:rFonts w:ascii="Times New Roman" w:hAnsi="Times New Roman"/>
          <w:caps w:val="false"/>
          <w:smallCaps w:val="false"/>
          <w:sz w:val="20"/>
        </w:rPr>
        <w:t>855,</w:t>
      </w:r>
      <w:r>
        <w:rPr>
          <w:rFonts w:ascii="Times New Roman" w:hAnsi="Times New Roman"/>
          <w:caps w:val="false"/>
          <w:smallCaps w:val="false"/>
          <w:sz w:val="20"/>
        </w:rPr>
        <w:t> Subsequent Events (“ASC </w:t>
      </w:r>
      <w:r>
        <w:rPr>
          <w:rStyle w:val="Emphasis"/>
          <w:rFonts w:ascii="Times New Roman" w:hAnsi="Times New Roman"/>
          <w:caps w:val="false"/>
          <w:smallCaps w:val="false"/>
          <w:sz w:val="20"/>
        </w:rPr>
        <w:t>855”</w:t>
      </w:r>
      <w:r>
        <w:rPr>
          <w:rFonts w:ascii="Times New Roman" w:hAnsi="Times New Roman"/>
          <w:caps w:val="false"/>
          <w:smallCaps w:val="false"/>
          <w:sz w:val="20"/>
        </w:rPr>
        <w:t>), which provides guidance to establish general standards of accounting for and disclosures of events that occur after the balance sheet date but before the consolidated financial statements are issued or are available to be issued. ASC </w:t>
      </w:r>
      <w:r>
        <w:rPr>
          <w:rStyle w:val="Emphasis"/>
          <w:rFonts w:ascii="Times New Roman" w:hAnsi="Times New Roman"/>
          <w:caps w:val="false"/>
          <w:smallCaps w:val="false"/>
          <w:sz w:val="20"/>
        </w:rPr>
        <w:t>855</w:t>
      </w:r>
      <w:r>
        <w:rPr>
          <w:rFonts w:ascii="Times New Roman" w:hAnsi="Times New Roman"/>
          <w:caps w:val="false"/>
          <w:smallCaps w:val="false"/>
          <w:sz w:val="20"/>
        </w:rPr>
        <w:t> sets forth (i) the period after the balance sheet date during which management of a reporting entity evaluates events or transactions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have any subsequent events that require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should be read in conjunction with the consolidated financial statements and notes included elsewhere in this Quarterly Report on Form 10-Q.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as well as other sections of this Quarterly Report on Form 10-Q,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words or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“Item 1A. Risk Factors” in our Annual Report on Form 10-K for the fiscal year ended December 31, 2024 and other risks and uncertainties discussed in other filings made with the Securities and Exchange Commission (including risks described in subsequent reports on Form 10-Q and Form 8-K and other filings). We disclaim any intention or obligation, other than as required by applicable law,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materials technology company that works with manufacturing and commercial partners to develop and commercialize products made from our proprietary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Liquidmetal Technologies entered into a manufacturing agreement (“Manufacturing Agreement”) with Dongguan Yihao Metal Materials Technology Co. Ltd. (“Yihao”) to become the primary outsourced manufacturer of our products. Under the Manufacturing Agreement, which has a term of five years, Yihao has agreed to serve as a non-exclusive contract manufacturer for amorphous alloy parts offered and sold by the us at prices determined on a “cost-plus” basis. Yihao is an affiliate of Dongguan Eontec Co. Ltd. and Professor Lugee Li, our Chairman and largest beneficial owner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(“Liquidmetal Golf” or “LMG”)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our amorphous alloy technology and related trademarks to manufacture and sell golf clubs and golf related products. The original term of three years 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16, 2017, we purchased a 41,000 square foot facility (the “Facility”) located in Lake Forest, CA, where operations commenced during July 2017. 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20321 Valencia, LLC, a Delaware limited liability company and our wholly owned subsidiary, entered into a lease agreement pursuant to which we leased to MatterHackers, Inc., a Delaware corporation (“Tenant”), an approximately 32,534 square foot portion of the Facility. The lease term was for 5 years and 2 months and is scheduled to expire on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2016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225,212,112 shares of our common stock owned by the Investor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shares issuable under the 2016 Purchase Agreement, we issued to the Investor a warrant to acquire 10,066,809 shares of common stock (of which the right to exercise 2,609,913 of the warrant shares vested on March 10, 2016 and the right to exercise the remaining 7,456,896 warrant shares vested on October 26, 2016, all 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we entered into a Parallel License Agreement (the “License Agreement”) with DongGuan Eontec Co., Ltd., a Hong Kong corporation (“Eontec”) pursuant to which we agreed to perpetually cross-license our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31, 2020, we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we licensed to Eutectix specified equipment owned by us and also licensed to Eutectix various patents and technical information related to our proprietary technology. The Agreement expired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7" w:type="dxa"/>
        <w:tblLayout w:type="fixed"/>
        <w:tblCellMar>
          <w:top w:w="28" w:type="dxa"/>
          <w:left w:w="28" w:type="dxa"/>
          <w:bottom w:w="28" w:type="dxa"/>
          <w:right w:w="28" w:type="dxa"/>
        </w:tblCellMar>
      </w:tblPr>
      <w:tblGrid>
        <w:gridCol w:w="60"/>
        <w:gridCol w:w="110"/>
        <w:gridCol w:w="5030"/>
      </w:tblGrid>
      <w:tr>
        <w:trPr/>
        <w:tc>
          <w:tcPr>
            <w:tcW w:w="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1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long-lived assets and definite-lived intangibles</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r>
      <w:tr>
        <w:trPr/>
        <w:tc>
          <w:tcPr>
            <w:tcW w:w="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2024 (the “2023 Annual Report”) contains further discussions on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0"/>
        <w:gridCol w:w="60"/>
        <w:gridCol w:w="167"/>
        <w:gridCol w:w="528"/>
        <w:gridCol w:w="80"/>
        <w:gridCol w:w="60"/>
        <w:gridCol w:w="73"/>
        <w:gridCol w:w="667"/>
        <w:gridCol w:w="185"/>
        <w:gridCol w:w="60"/>
        <w:gridCol w:w="167"/>
        <w:gridCol w:w="528"/>
        <w:gridCol w:w="80"/>
        <w:gridCol w:w="60"/>
        <w:gridCol w:w="73"/>
        <w:gridCol w:w="667"/>
        <w:gridCol w:w="185"/>
        <w:gridCol w:w="60"/>
        <w:gridCol w:w="167"/>
        <w:gridCol w:w="528"/>
        <w:gridCol w:w="80"/>
        <w:gridCol w:w="60"/>
        <w:gridCol w:w="73"/>
        <w:gridCol w:w="592"/>
        <w:gridCol w:w="18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increased by $109 to $282 for the three months ended March 31, 2025 from $173 for the three months ended March 31, 2024. The increase was attributable to increase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$204, or 72.3% of total revenue, for the three months ended March 31, 2025, as compared to $134, or 77.5% of total revenue, for the three months ended March 31, 2024. The increase in our cost of sales was primarily driven by lower product revenues during Q1 2024 compared to Q1 2025.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increased by $39 from $39 for the three months ended March 31, 2024 to $78 for the three months ended March 31, 2025. Our gross margin percentage increased slightly from Q1 2024 to Q1 2025.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$212 to $975, or 345.7% of revenue, for the three months ended March 31, 2025 from $763, or 441.0% of revenue, for the three months ended March 31, 2024. The increase in expenses was primarily attributable to increase in payroll expenses, a one-time severance payment to an administrative staff, and stock compensation in Q1 2025 compared to Q1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remained unchanged at $4, or 1.4% of revenue, for the three months ended March 31, 2025, and $4, or 2.3% of revenue, for the three months ended March 31, 2024.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$63 and $54 for the three months ended March 31, 2025 and 2024, respectively. The increase during the three months ended March 31, 2025 is primarily due to higher overall yields on debt securities as a result of an increase in overall interest rate increases by the government and holding onto debt securities until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$179 and $189 for the years ended December 31, 2024 and 2023, respectively. The decrease during the three months ended March 31, 2025 is primarily due to lower overall yields on debt securities as a result of an increase in overall interest rate decreases by the government during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$89 and $89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$568 for the three months ended March 31, 2025 and $314 for the three months ended March 31,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$299 and $196 for the three months ended March 31, 2025 and 2024, respectively. The cash was primarily used to fund operating expenses related to our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provided by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totaled $812 and cash provided by $757 for the three months ended March 31, 2025 and 2024, respectively. Investing inflows primarily consist of proceeds from the sale of debt securities. Investing outflows primarily consist of purchases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March 31, 2025, we had $4,900 in cash and restricted cash, as well as $17,205 in investments in debt securities. We view this total of $22,105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0" w:name="qqd"/>
      <w:bookmarkEnd w:id="10"/>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cp"/>
      <w:bookmarkEnd w:id="11"/>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b/>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March 31, 2025. Based on their evaluation, our Chief Executive Officer has concluded that our disclosure controls and procedures were effective as of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that term is defined in Rules 13a-15(f) or 15d-15(f) under the Exchange Act) during the quarter ended March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2" w:name="part2"/>
      <w:bookmarkEnd w:id="12"/>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lp"/>
      <w:bookmarkEnd w:id="13"/>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rf"/>
      <w:bookmarkEnd w:id="14"/>
      <w:r>
        <w:rPr>
          <w:rFonts w:ascii="Times New Roman" w:hAnsi="Times New Roman"/>
          <w:b/>
          <w:caps w:val="false"/>
          <w:smallCaps w:val="false"/>
          <w:sz w:val="20"/>
        </w:rPr>
        <w:t>Item 1A</w:t>
      </w:r>
      <w:r>
        <w:rPr>
          <w:rFonts w:ascii="Times New Roman" w:hAnsi="Times New Roman"/>
          <w:caps w:val="false"/>
          <w:smallCaps w:val="false"/>
          <w:sz w:val="20"/>
        </w:rPr>
        <w:t> –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detailed discussion of the risk factors that should be understood by any investor contemplating an investment in our stock, please refer to Part I, Item 1A “Risk Factors” in the 2023 Annual Report. There have been no material changes from the risk factors previously disclosed in Part I, Item 1A “Risk Factors” in the 2023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uses"/>
      <w:bookmarkEnd w:id="15"/>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covered by this Quarterly Report on Form 10-Q, we did not issue or sell any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duss"/>
      <w:bookmarkEnd w:id="16"/>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msd"/>
      <w:bookmarkEnd w:id="17"/>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both"/>
        <w:rPr/>
      </w:pPr>
      <w:bookmarkStart w:id="18" w:name="oi"/>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9" w:name="ex"/>
      <w:bookmarkEnd w:id="19"/>
      <w:r>
        <w:rPr>
          <w:rFonts w:ascii="Times New Roman" w:hAnsi="Times New Roman"/>
          <w:b/>
          <w:caps w:val="false"/>
          <w:smallCaps w:val="false"/>
          <w:sz w:val="20"/>
        </w:rPr>
        <w:t>Item 6</w:t>
      </w:r>
      <w:r>
        <w:rPr>
          <w:rFonts w:ascii="Times New Roman" w:hAnsi="Times New Roman"/>
          <w:caps w:val="false"/>
          <w:smallCaps w:val="false"/>
          <w:sz w:val="20"/>
        </w:rPr>
        <w:t> –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665"/>
        <w:gridCol w:w="60"/>
        <w:gridCol w:w="9480"/>
      </w:tblGrid>
      <w:tr>
        <w:trPr/>
        <w:tc>
          <w:tcPr>
            <w:tcW w:w="6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9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Document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10.1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hyperlink w:anchor="ex_809387.htm">
              <w:r>
                <w:rPr>
                  <w:rStyle w:val="InternetLink"/>
                </w:rPr>
                <w:t>Industrial/Commercial Multi-Tenant Lease dated March 26, 2025, between 20321 Valencia LLC (Lessor) and MatterHackers, Inc. (Lessee)</w:t>
              </w:r>
            </w:hyperlink>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pPr>
            <w:hyperlink w:anchor="ex_809388.htm">
              <w:r>
                <w:rPr>
                  <w:rStyle w:val="InternetLink"/>
                  <w:rFonts w:ascii="Times New Roman" w:hAnsi="Times New Roman"/>
                  <w:caps w:val="false"/>
                  <w:smallCaps w:val="false"/>
                  <w:sz w:val="20"/>
                  <w:u w:val="single"/>
                </w:rPr>
                <w:t>Certification of Principal Executive Officer and Principal Financial Officer, Tony Chung, as required by Section 302 of the Sarbanes-Oxley Act of 2002.</w:t>
              </w:r>
            </w:hyperlink>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pPr>
            <w:hyperlink w:anchor="ex_809389.htm">
              <w:r>
                <w:rPr>
                  <w:rStyle w:val="InternetLink"/>
                  <w:rFonts w:ascii="Times New Roman" w:hAnsi="Times New Roman"/>
                  <w:caps w:val="false"/>
                  <w:smallCaps w:val="false"/>
                  <w:sz w:val="20"/>
                  <w:u w:val="single"/>
                </w:rPr>
                <w:t>Certification of Chief Executive Officer and Principal Financial Officer, Tony Chung, pursuant to 18 U.S.C. Section 1350, as adopted pursuant to Section 906 of the Sarbanes-Oxley Act of 2002.</w:t>
              </w:r>
            </w:hyperlink>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statements from Liquidmetal Technologies, Inc.’s Quarterly Report on Form 10-Q for the quarter ended March 31, 2025 (unaudited), formatted in Inline XBRL: (i) Consolidated Balance Sheets as of March 31, 2025 and December 31, 2024, (ii) Consolidated Statements of Operations for the three months ended March 31, 2025 and 2023, (iii) Consolidated Statements of Stockholders’ Equity for the three months ended March 31, 2025 and 2023, (iv) Consolidated Statements of Comprehensive Loss for the three months ended March 31, 2025 and 2023, (v) Consolidated Statements of Cash Flows for the three months ended March 31, 2025 and 2023, and (vi) Notes to Consolidated Financial Statements.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7" w:type="dxa"/>
        <w:tblLayout w:type="fixed"/>
        <w:tblCellMar>
          <w:top w:w="28" w:type="dxa"/>
          <w:left w:w="28" w:type="dxa"/>
          <w:bottom w:w="28" w:type="dxa"/>
          <w:right w:w="28" w:type="dxa"/>
        </w:tblCellMar>
      </w:tblPr>
      <w:tblGrid>
        <w:gridCol w:w="1640"/>
        <w:gridCol w:w="3410"/>
        <w:gridCol w:w="60"/>
      </w:tblGrid>
      <w:tr>
        <w:trPr/>
        <w:tc>
          <w:tcPr>
            <w:tcW w:w="16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34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13, 2025</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 and Principal</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27 </w:t>
      </w:r>
    </w:p>
    <w:p>
      <w:pPr>
        <w:pStyle w:val="TextBody"/>
        <w:bidi w:val="0"/>
        <w:spacing w:before="0" w:after="0"/>
        <w:ind w:left="0" w:right="0" w:hanging="0"/>
        <w:jc w:val="right"/>
        <w:rPr>
          <w:rFonts w:ascii="Times New Roman;Times;serif" w:hAnsi="Times New Roman;Times;serif"/>
          <w:b/>
          <w:sz w:val="20"/>
        </w:rPr>
      </w:pPr>
      <w:bookmarkStart w:id="21" w:name="ex_809387.htm"/>
      <w:bookmarkStart w:id="22" w:name="ksex_809387"/>
      <w:bookmarkEnd w:id="21"/>
      <w:bookmarkEnd w:id="22"/>
      <w:r>
        <w:rPr>
          <w:rFonts w:ascii="Times New Roman;Times;serif" w:hAnsi="Times New Roman;Times;serif"/>
          <w:b/>
          <w:sz w:val="20"/>
        </w:rPr>
        <w:t>Exhibit 10.1</w:t>
      </w:r>
      <w:r>
        <w:br w:type="page"/>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caps w:val="false"/>
          <w:smallCaps w:val="false"/>
          <w:sz w:val="24"/>
        </w:rPr>
        <w:t>INDUSTRIAL/COMMERCIAL MULTI-TENANT LEASE</w:t>
      </w:r>
    </w:p>
    <w:p>
      <w:pPr>
        <w:pStyle w:val="TextBody"/>
        <w:bidi w:val="0"/>
        <w:spacing w:before="0" w:after="0"/>
        <w:ind w:left="0" w:right="0" w:hanging="0"/>
        <w:jc w:val="left"/>
        <w:rPr/>
      </w:pPr>
      <w:r>
        <w:rPr/>
        <w:t> </w:t>
      </w:r>
    </w:p>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4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Parties</w:t>
            </w:r>
            <w:r>
              <w:rPr>
                <w:rFonts w:ascii="Times New Roman;Times;serif" w:hAnsi="Times New Roman;Times;serif"/>
                <w:caps w:val="false"/>
                <w:smallCaps w:val="false"/>
                <w:sz w:val="20"/>
              </w:rPr>
              <w:t>. This Lease (“Lease”), dated for reference purposes only March 26, 2025, is made by and between 20321 Valencia LLC, a Delaware limited liability company (“Lessor”) and MatterHackers, Inc., a Delaware corporation (“Lessee”), each referred to hereunder as a “Party,” or collectively as “the Parties.”</w:t>
            </w:r>
          </w:p>
        </w:tc>
      </w:tr>
    </w:tbl>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275"/>
        <w:gridCol w:w="18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18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Premises and Parking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Premises</w:t>
            </w:r>
            <w:r>
              <w:rPr>
                <w:rFonts w:ascii="Times New Roman;Times;serif" w:hAnsi="Times New Roman;Times;serif"/>
                <w:caps w:val="false"/>
                <w:smallCaps w:val="false"/>
                <w:sz w:val="20"/>
              </w:rPr>
              <w:t>. That certain real property, including all improvements therein or to be provided by lessor under the terms of this Lease, commonly known as 20321 Valencia Circle. (“Premises”) The Premises are located in the County of Orange, and are generally described as an approximate 40,090 rentable square foot portion of the larger 40,934 square foot industrial building. In addition to Lessee’s rights to use and occupy the Premises as hereinafter specified, Lessee shall have non-exclusive rights to any utility raceways of the building containing the Premises (“Building”) and to the Common Areas (as defined in Paragraph 2.7 below), but shall not have any rights to the roof, or exterior walls of the Building. The Premises, the Building, the Common Areas, the land upon which they are located, along with all other buildings and improvements thereon, are herein collectively referred to as the “Project.” (See also Paragraph 2).</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60"/>
        <w:gridCol w:w="245"/>
        <w:gridCol w:w="58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Parking</w:t>
            </w:r>
            <w:r>
              <w:rPr>
                <w:rFonts w:ascii="Times New Roman;Times;serif" w:hAnsi="Times New Roman;Times;serif"/>
                <w:caps w:val="false"/>
                <w:smallCaps w:val="false"/>
                <w:sz w:val="20"/>
              </w:rPr>
              <w:t>: 90 unreserved vehicle parking spaces. (See also Paragraph 2.6)</w:t>
            </w:r>
          </w:p>
        </w:tc>
      </w:tr>
    </w:tbl>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275"/>
        <w:gridCol w:w="94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w:t>
            </w:r>
            <w:r>
              <w:rPr>
                <w:rFonts w:ascii="Times New Roman;Times;serif" w:hAnsi="Times New Roman;Times;serif"/>
                <w:caps w:val="false"/>
                <w:smallCaps w:val="false"/>
                <w:sz w:val="20"/>
              </w:rPr>
              <w:t>. 5 years commencing May 1, 2025 (“Commencement Date”) and ending April 30, 2030. (See also Paragraph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Early Possession</w:t>
            </w:r>
            <w:r>
              <w:rPr>
                <w:rFonts w:ascii="Times New Roman;Times;serif" w:hAnsi="Times New Roman;Times;serif"/>
                <w:caps w:val="false"/>
                <w:smallCaps w:val="false"/>
                <w:sz w:val="20"/>
              </w:rPr>
              <w:t>. If the Premises are available, Lessee may have non-exclusive possession of the Premises commencing April 1, 2025 (“Early Possession Date”) provided such access does not interfere with Lessor’s move out of the Premises. (See also Paragraphs 3.2 and 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870"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Base Rent</w:t>
            </w:r>
            <w:r>
              <w:rPr>
                <w:rFonts w:ascii="Times New Roman;Times;serif" w:hAnsi="Times New Roman;Times;serif"/>
                <w:caps w:val="false"/>
                <w:smallCaps w:val="false"/>
                <w:sz w:val="20"/>
              </w:rPr>
              <w:t>. $51,716.00 per month (“Base Rent”), payable on the 1st day of each month, commencing May 1, 2025, to be periodically adjusted pursuant to Paragraph 59. (See also Paragraph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Share of Common Area Operating Expenses</w:t>
            </w:r>
            <w:r>
              <w:rPr>
                <w:rFonts w:ascii="Times New Roman;Times;serif" w:hAnsi="Times New Roman;Times;serif"/>
                <w:caps w:val="false"/>
                <w:smallCaps w:val="false"/>
                <w:sz w:val="20"/>
              </w:rPr>
              <w:t>. Ninety-seven and ninety-four hundredths’ percent (97.94%). In the event that the size of the Premises and/or the Project are modified during the term of this Lease, Lessor shall recalculate Lessee’s Share to reflect such modification.</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275"/>
        <w:gridCol w:w="42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42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rent and Other Monies Paid Upon Execution</w:t>
            </w:r>
          </w:p>
        </w:tc>
      </w:tr>
    </w:tbl>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60"/>
        <w:gridCol w:w="230"/>
        <w:gridCol w:w="77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7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Base Rent</w:t>
            </w:r>
            <w:r>
              <w:rPr>
                <w:rFonts w:ascii="Times New Roman;Times;serif" w:hAnsi="Times New Roman;Times;serif"/>
                <w:caps w:val="false"/>
                <w:smallCaps w:val="false"/>
                <w:sz w:val="20"/>
              </w:rPr>
              <w:t>: $51,716.00 for the period of May 1, 2025 to May 31, 2025. (See also Paragraph 59)</w:t>
            </w:r>
          </w:p>
        </w:tc>
      </w:tr>
    </w:tbl>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245"/>
        <w:gridCol w:w="51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Security Deposit</w:t>
            </w:r>
            <w:r>
              <w:rPr>
                <w:rFonts w:ascii="Times New Roman;Times;serif" w:hAnsi="Times New Roman;Times;serif"/>
                <w:caps w:val="false"/>
                <w:smallCaps w:val="false"/>
                <w:sz w:val="20"/>
              </w:rPr>
              <w:t>: $43,208.00, less any deposit previously paid.</w:t>
            </w:r>
          </w:p>
        </w:tc>
      </w:tr>
    </w:tbl>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30"/>
        <w:gridCol w:w="96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Other</w:t>
            </w:r>
            <w:r>
              <w:rPr>
                <w:rFonts w:ascii="Times New Roman;Times;serif" w:hAnsi="Times New Roman;Times;serif"/>
                <w:caps w:val="false"/>
                <w:smallCaps w:val="false"/>
                <w:sz w:val="20"/>
              </w:rPr>
              <w:t>: $10,355.20 for NNN expenses for the period of May 1, 2025 to May 31, 2025. (See Exhibit “B” NNN Expenses)</w:t>
            </w:r>
          </w:p>
        </w:tc>
      </w:tr>
    </w:tbl>
    <w:p>
      <w:pPr>
        <w:pStyle w:val="TextBody"/>
        <w:bidi w:val="0"/>
        <w:spacing w:before="0" w:after="0"/>
        <w:ind w:left="0" w:right="0" w:hanging="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275"/>
        <w:gridCol w:w="83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Agreed Use.</w:t>
            </w:r>
            <w:r>
              <w:rPr>
                <w:rFonts w:ascii="Times New Roman;Times;serif" w:hAnsi="Times New Roman;Times;serif"/>
                <w:caps w:val="false"/>
                <w:smallCaps w:val="false"/>
                <w:sz w:val="20"/>
              </w:rPr>
              <w:t> General office and warehouse for a 3D printer and supply company. (See also Paragraph 6)</w:t>
            </w:r>
          </w:p>
        </w:tc>
      </w:tr>
    </w:tbl>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275"/>
        <w:gridCol w:w="56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5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Insuring Party</w:t>
            </w:r>
            <w:r>
              <w:rPr>
                <w:rFonts w:ascii="Times New Roman;Times;serif" w:hAnsi="Times New Roman;Times;serif"/>
                <w:caps w:val="false"/>
                <w:smallCaps w:val="false"/>
                <w:sz w:val="20"/>
              </w:rPr>
              <w:t>. Lessor is the “Insuring Party.” (See also Paragraph 8)</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380"/>
        <w:gridCol w:w="61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1.10</w:t>
            </w:r>
          </w:p>
        </w:tc>
        <w:tc>
          <w:tcPr>
            <w:tcW w:w="6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Real Estate Brokers</w:t>
            </w:r>
            <w:r>
              <w:rPr>
                <w:rFonts w:ascii="Times New Roman;Times;serif" w:hAnsi="Times New Roman;Times;serif"/>
                <w:caps w:val="false"/>
                <w:smallCaps w:val="false"/>
                <w:sz w:val="20"/>
              </w:rPr>
              <w:t>. None / Not Applicable (See also Paragraph 15 and 25)</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380"/>
        <w:gridCol w:w="48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4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Guarantor</w:t>
            </w:r>
            <w:r>
              <w:rPr>
                <w:rFonts w:ascii="Times New Roman;Times;serif" w:hAnsi="Times New Roman;Times;serif"/>
                <w:caps w:val="false"/>
                <w:smallCaps w:val="false"/>
                <w:sz w:val="20"/>
              </w:rPr>
              <w:t>. Omitted intentionally. (See also Paragraph 37).</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380"/>
        <w:gridCol w:w="74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7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Attachments</w:t>
            </w:r>
            <w:r>
              <w:rPr>
                <w:rFonts w:ascii="Times New Roman;Times;serif" w:hAnsi="Times New Roman;Times;serif"/>
                <w:caps w:val="false"/>
                <w:smallCaps w:val="false"/>
                <w:sz w:val="20"/>
              </w:rPr>
              <w:t>. Attached hereto are the following, all of which constitute a part of this Lease:</w:t>
            </w:r>
          </w:p>
        </w:tc>
      </w:tr>
    </w:tbl>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30"/>
        <w:gridCol w:w="18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8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 “A” Floor Plan</w:t>
            </w:r>
          </w:p>
        </w:tc>
      </w:tr>
    </w:tbl>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245"/>
        <w:gridCol w:w="22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2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 “B” NNN Expenses</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both"/>
        <w:rPr/>
      </w:pPr>
      <w:r>
        <w:rPr/>
        <w:t> </w:t>
      </w:r>
    </w:p>
    <w:tbl>
      <w:tblPr>
        <w:tblW w:w="955" w:type="dxa"/>
        <w:jc w:val="left"/>
        <w:tblInd w:w="0" w:type="dxa"/>
        <w:tblLayout w:type="fixed"/>
        <w:tblCellMar>
          <w:top w:w="0" w:type="dxa"/>
          <w:left w:w="0" w:type="dxa"/>
          <w:bottom w:w="0" w:type="dxa"/>
          <w:right w:w="0" w:type="dxa"/>
        </w:tblCellMar>
      </w:tblPr>
      <w:tblGrid>
        <w:gridCol w:w="170"/>
        <w:gridCol w:w="7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Letting</w:t>
            </w:r>
            <w:r>
              <w:rPr>
                <w:rFonts w:ascii="Times New Roman;Times;serif" w:hAnsi="Times New Roman;Times;serif"/>
                <w:caps w:val="false"/>
                <w:smallCaps w:val="false"/>
                <w:sz w:val="20"/>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Times New Roman;Times;serif" w:hAnsi="Times New Roman;Times;serif"/>
                <w:b/>
                <w:caps w:val="false"/>
                <w:smallCaps w:val="false"/>
                <w:sz w:val="20"/>
              </w:rPr>
              <w:t>NOTE: Lessee is advised to verify the actual size prior to executing this Lease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Condition</w:t>
            </w:r>
            <w:r>
              <w:rPr>
                <w:rFonts w:ascii="Times New Roman;Times;serif" w:hAnsi="Times New Roman;Times;serif"/>
                <w:caps w:val="false"/>
                <w:smallCaps w:val="false"/>
                <w:sz w:val="20"/>
              </w:rPr>
              <w:t>. Lessor shall deliver that portion of the Premises contained within the Building (“Unit”) to Lessee broom clean and free of debris on the Commencement Date or the Early Possession Date, whichever first occurs (“Start Date”),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(“HVAC”),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8 months as to the HVAC systems, and (ii) 60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 see Paragraph 7). Lessor also warrants, that unless otherwise specified in writing, Lessor is unaware of (i) any recorded Notices of Default affecting the Premise; (ii) any delinquent amounts due under any loan secured by the Premises; and (iii) any bankruptcy proceeding affecting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Compliance</w:t>
            </w:r>
            <w:r>
              <w:rPr>
                <w:rFonts w:ascii="Times New Roman;Times;serif" w:hAnsi="Times New Roman;Times;serif"/>
                <w:caps w:val="false"/>
                <w:smallCaps w:val="false"/>
                <w:sz w:val="20"/>
              </w:rPr>
              <w:t xml:space="preserve">. Lessor warrants that to the best of its knowledge the improvements on the Premises comply with the building codes, applicable laws, covenants or restrictions of record, regulations, and ordinances ("Applicable Requirements")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Times New Roman;Times;serif" w:hAnsi="Times New Roman;Times;serif"/>
                <w:b/>
                <w:caps w:val="false"/>
                <w:smallCaps w:val="false"/>
                <w:sz w:val="20"/>
              </w:rPr>
              <w:t>NOTE: Lessee is responsible for determining whether or not the Applicable Requirements, and especially the zoning are appropriate for Lessee's intended use, and acknowledges that past uses of the Premises may no longer be allowed.</w:t>
            </w:r>
            <w:r>
              <w:rPr>
                <w:rFonts w:ascii="Times New Roman;Times;serif" w:hAnsi="Times New Roman;Times;serif"/>
                <w:caps w:val="false"/>
                <w:smallCaps w:val="false"/>
                <w:sz w:val="20"/>
              </w:rPr>
              <w:t> If the Premises do not comply with said warranty, Lessor shall, except as otherwise provided, 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("Capital Expenditure"), Lessor and Lessee shall allocate the cost of such work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unit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Acknowledgements</w:t>
            </w:r>
            <w:r>
              <w:rPr>
                <w:rFonts w:ascii="Times New Roman;Times;serif" w:hAnsi="Times New Roman;Times;serif"/>
                <w:caps w:val="false"/>
                <w:smallCaps w:val="false"/>
                <w:sz w:val="20"/>
              </w:rPr>
              <w:t>.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 as Prior Owner/Occupant</w:t>
            </w:r>
            <w:r>
              <w:rPr>
                <w:rFonts w:ascii="Times New Roman;Times;serif" w:hAnsi="Times New Roman;Times;serif"/>
                <w:caps w:val="false"/>
                <w:smallCaps w:val="false"/>
                <w:sz w:val="20"/>
              </w:rPr>
              <w:t>. The warranties made by Lessor in Paragraph 2 shall be of no force or effect if immediately prior to the Start Date Lessee was the owner or occupant of the Premises. In such event, Lessee shall be responsible for any necessary corrective work.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Vehicle Parking</w:t>
            </w:r>
            <w:r>
              <w:rPr>
                <w:rFonts w:ascii="Times New Roman;Times;serif" w:hAnsi="Times New Roman;Times;serif"/>
                <w:caps w:val="false"/>
                <w:smallCaps w:val="false"/>
                <w:sz w:val="20"/>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 size passenger automobiles or pickup trucks, herein called "Permitted Size Vehicles." Lessor may regulate the loading and unloading of vehicles by adopting Rules and Regulations as provided in Paragraph 2.9. No vehicles other than Permitted Size Vehicles may be parked in the Common Area without the prior written permission of Lessor. In addition: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not permit or allow any vehicles that belong to or are controlled by Lessee or Lessee's employees, suppliers, shippers, customers, contractors or invitees to be loaded, unloaded, or parked in areas other than those designated by Lessor for such activities.</w:t>
            </w:r>
          </w:p>
        </w:tc>
      </w:tr>
    </w:tbl>
    <w:p>
      <w:pPr>
        <w:pStyle w:val="TextBody"/>
        <w:bidi w:val="0"/>
        <w:spacing w:before="0" w:after="0"/>
        <w:ind w:left="0" w:right="0" w:hanging="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245"/>
        <w:gridCol w:w="54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not service or store any vehicles in the Common Areas.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Areas Definition</w:t>
            </w:r>
            <w:r>
              <w:rPr>
                <w:rFonts w:ascii="Times New Roman;Times;serif" w:hAnsi="Times New Roman;Times;serif"/>
                <w:caps w:val="false"/>
                <w:smallCaps w:val="false"/>
                <w:sz w:val="20"/>
              </w:rPr>
              <w:t>. The term "Common Areas" is defined as all areas and facilities outside the Premises and within the exterior boundary line of the Project and interior utility raceways and installation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roofs, roadways, walkways, driveways and landscaped areas.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Areas Lessee's Rights</w:t>
            </w:r>
            <w:r>
              <w:rPr>
                <w:rFonts w:ascii="Times New Roman;Times;serif" w:hAnsi="Times New Roman;Times;serif"/>
                <w:caps w:val="false"/>
                <w:smallCaps w:val="false"/>
                <w:sz w:val="20"/>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Areas Rules and Regulations</w:t>
            </w:r>
            <w:r>
              <w:rPr>
                <w:rFonts w:ascii="Times New Roman;Times;serif" w:hAnsi="Times New Roman;Times;serif"/>
                <w:caps w:val="false"/>
                <w:smallCaps w:val="false"/>
                <w:sz w:val="20"/>
              </w:rPr>
              <w:t>. Lessor or such other person(s) as Lessor may appoint shall have the exclusive control and management of the Common Areas and shall have the right, from time to time, to establish, modify, amend and enforce reasonable rules and regulations ("Rules and Regulations") for the management, safety, care, and cleanliness of the grounds, the parking and unloading of vehicles and the preservation of good order, as well as for the convenience of other occupants or tenants of the Building and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tc>
      </w:tr>
    </w:tbl>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60"/>
        <w:gridCol w:w="380"/>
        <w:gridCol w:w="80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80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Areas Changes</w:t>
            </w:r>
            <w:r>
              <w:rPr>
                <w:rFonts w:ascii="Times New Roman;Times;serif" w:hAnsi="Times New Roman;Times;serif"/>
                <w:caps w:val="false"/>
                <w:smallCaps w:val="false"/>
                <w:sz w:val="20"/>
              </w:rPr>
              <w:t>. Lessor shall have the right, in Lessor's sole discretion,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close temporarily any of the Common Areas for maintenance purposes so long as reasonable access to the Premises remains available;</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60"/>
        <w:gridCol w:w="230"/>
        <w:gridCol w:w="77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designate other land outside the boundaries of the Project to be a part of the Common Areas;</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60"/>
        <w:gridCol w:w="245"/>
        <w:gridCol w:w="57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5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additional buildings and improvements to the Common Areas;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use the Common Areas while engaged in making additional improvements, repairs or alterations to the Project, or any portion thereof;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do and perform such other acts and make such other changes in, to or with respect to the Common Areas and Project as Lessor may, in the exercise of sound business judgment, deem to be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0" w:type="dxa"/>
          <w:left w:w="0" w:type="dxa"/>
          <w:bottom w:w="0" w:type="dxa"/>
          <w:right w:w="0" w:type="dxa"/>
        </w:tblCellMar>
      </w:tblPr>
      <w:tblGrid>
        <w:gridCol w:w="170"/>
        <w:gridCol w:w="5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5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275"/>
        <w:gridCol w:w="93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w:t>
            </w:r>
            <w:r>
              <w:rPr>
                <w:rFonts w:ascii="Times New Roman;Times;serif" w:hAnsi="Times New Roman;Times;serif"/>
                <w:caps w:val="false"/>
                <w:smallCaps w:val="false"/>
                <w:sz w:val="20"/>
              </w:rPr>
              <w:t>. The Commencement Date, Expiration Date, and Original Term of this Lease are as specified in Paragraph 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Early Possession</w:t>
            </w:r>
            <w:r>
              <w:rPr>
                <w:rFonts w:ascii="Times New Roman;Times;serif" w:hAnsi="Times New Roman;Times;serif"/>
                <w:caps w:val="false"/>
                <w:smallCaps w:val="false"/>
                <w:sz w:val="20"/>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 to pay Lessee's Share of Common Area Operating Expenses, Real Property Taxes and insurance premiums and to maintain the Premises) shall be in effect during such period. Any such Early Possession shall not affect the Expiration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Delay In Possession</w:t>
            </w:r>
            <w:r>
              <w:rPr>
                <w:rFonts w:ascii="Times New Roman;Times;serif" w:hAnsi="Times New Roman;Times;serif"/>
                <w:caps w:val="false"/>
                <w:smallCaps w:val="false"/>
                <w:sz w:val="20"/>
              </w:rPr>
              <w:t>.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 Compliance</w:t>
            </w:r>
            <w:r>
              <w:rPr>
                <w:rFonts w:ascii="Times New Roman;Times;serif" w:hAnsi="Times New Roman;Times;serif"/>
                <w:caps w:val="false"/>
                <w:smallCaps w:val="false"/>
                <w:sz w:val="20"/>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Early Termination</w:t>
            </w:r>
            <w:r>
              <w:rPr>
                <w:rFonts w:ascii="Times New Roman;Times;serif" w:hAnsi="Times New Roman;Times;serif"/>
                <w:caps w:val="false"/>
                <w:smallCaps w:val="false"/>
                <w:sz w:val="20"/>
              </w:rPr>
              <w:t>. Either party may, upon 6 months’ prior written notice to the other Party, terminate the Lease prior to the Expiration Date, provided that such termination shall not take effect prior to October 31, 2027. With regard to all other provisions in this Lease, such early termination shall have the same effect as the Expiration of this License under Section 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4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Rent Defined</w:t>
            </w:r>
            <w:r>
              <w:rPr>
                <w:rFonts w:ascii="Times New Roman;Times;serif" w:hAnsi="Times New Roman;Times;serif"/>
                <w:caps w:val="false"/>
                <w:smallCaps w:val="false"/>
                <w:sz w:val="20"/>
              </w:rPr>
              <w:t>. All monetary obligations of Lessee to Lessor under the terms of this Lease (except for the Security Deposit) are deemed to be rent (“Rent”).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Area Operating Expenses</w:t>
            </w:r>
            <w:r>
              <w:rPr>
                <w:rFonts w:ascii="Times New Roman;Times;serif" w:hAnsi="Times New Roman;Times;serif"/>
                <w:caps w:val="false"/>
                <w:smallCaps w:val="false"/>
                <w:sz w:val="20"/>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"Common Area Operating Expenses" are defined, for purposes of this Lease, as all costs relating to the ownership and operation of the Project, including, but not limited to, the following: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operation, repair and maintenance, in neat, clean, good order and condition, and if necessary the replacement,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Common Areas and Common Area improvements, including parking areas, loading and unloading areas, trash areas, roadways, parkways, walkways, driveways, landscaped areas, bumpers, irrigation systems, Common Area lighting facilities, fences and gates, elevators, roofs, exterior walls of the buildings, building systems and roof drainage systems.</w:t>
            </w:r>
          </w:p>
        </w:tc>
      </w:tr>
    </w:tbl>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275"/>
        <w:gridCol w:w="333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33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Exterior signs and any tenant directories.</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275"/>
        <w:gridCol w:w="216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2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fire sprinkler systems.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9"/>
        <w:gridCol w:w="9886"/>
      </w:tblGrid>
      <w:tr>
        <w:trPr/>
        <w:tc>
          <w:tcPr>
            <w:tcW w:w="60" w:type="dxa"/>
            <w:tcBorders/>
            <w:vAlign w:val="center"/>
          </w:tcPr>
          <w:p>
            <w:pPr>
              <w:pStyle w:val="TableContents"/>
              <w:bidi w:val="0"/>
              <w:spacing w:before="0" w:after="283"/>
              <w:jc w:val="both"/>
              <w:rPr/>
            </w:pPr>
            <w:r>
              <w:rPr/>
              <w:t> </w:t>
            </w:r>
          </w:p>
        </w:tc>
        <w:tc>
          <w:tcPr>
            <w:tcW w:w="2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other areas and improvements that are within the exterior boundaries of the Project but outside of the Premises and/or any other space occupied by a tenant.</w:t>
            </w:r>
          </w:p>
        </w:tc>
      </w:tr>
    </w:tbl>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60"/>
        <w:gridCol w:w="9620"/>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6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water, gas, electricity, and telephone to service the Common Areas and any utilities not separately metered.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1"/>
        <w:gridCol w:w="9854"/>
      </w:tblGrid>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trash disposal, pest control services, property management, security services, owners’ association dues and fees, the cost to repaint the exterior of any structures and the cost of any environmental inspections.</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305"/>
        <w:gridCol w:w="8915"/>
      </w:tblGrid>
      <w:tr>
        <w:trPr/>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Reserves set aside for maintenance, repair and/or replacement of Common Area improvements and equipment.</w:t>
            </w:r>
          </w:p>
        </w:tc>
      </w:tr>
    </w:tbl>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245"/>
        <w:gridCol w:w="401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Real Property Taxes (as defined in Paragraph 10).</w:t>
            </w:r>
          </w:p>
        </w:tc>
      </w:tr>
    </w:tbl>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305"/>
        <w:gridCol w:w="7190"/>
      </w:tblGrid>
      <w:tr>
        <w:trPr/>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w:t>
            </w:r>
          </w:p>
        </w:tc>
        <w:tc>
          <w:tcPr>
            <w:tcW w:w="7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the premiums for the insurance maintained by lessor pursuant to Paragraph 8.</w:t>
            </w:r>
          </w:p>
        </w:tc>
      </w:tr>
    </w:tbl>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365"/>
        <w:gridCol w:w="7265"/>
      </w:tblGrid>
      <w:tr>
        <w:trPr/>
        <w:tc>
          <w:tcPr>
            <w:tcW w:w="6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deductible portion of an insured loss concerning the Building or the Common Areas.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0"/>
        <w:gridCol w:w="9725"/>
      </w:tblGrid>
      <w:tr>
        <w:trPr/>
        <w:tc>
          <w:tcPr>
            <w:tcW w:w="60"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(viii)</w:t>
            </w:r>
          </w:p>
        </w:tc>
        <w:tc>
          <w:tcPr>
            <w:tcW w:w="9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Auditors’, accountants’, and attorneys’ fees and costs related to the operation, maintenance, repair and replacement of the Project.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9"/>
        <w:gridCol w:w="9886"/>
      </w:tblGrid>
      <w:tr>
        <w:trPr/>
        <w:tc>
          <w:tcPr>
            <w:tcW w:w="60" w:type="dxa"/>
            <w:tcBorders/>
            <w:vAlign w:val="center"/>
          </w:tcPr>
          <w:p>
            <w:pPr>
              <w:pStyle w:val="TableContents"/>
              <w:bidi w:val="0"/>
              <w:spacing w:before="0" w:after="283"/>
              <w:jc w:val="both"/>
              <w:rPr/>
            </w:pPr>
            <w:r>
              <w:rPr/>
              <w:t> </w:t>
            </w:r>
          </w:p>
        </w:tc>
        <w:tc>
          <w:tcPr>
            <w:tcW w:w="2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(ix)</w:t>
            </w:r>
          </w:p>
        </w:tc>
        <w:tc>
          <w:tcPr>
            <w:tcW w:w="9886"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 Lessee shall pay interest on the unamortized balance but may prepay its obligations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w:t>
            </w:r>
          </w:p>
        </w:tc>
        <w:tc>
          <w:tcPr>
            <w:tcW w:w="99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any other services to be provided by Lessor that are stated elsewhere in the Lease to be a Common Area Operating Expense.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Common Area Operating Expenses and Real Property Taxes that are specifically attributable to the Unit, the Building or to any other building in the Project or to the operation ,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Common Area Operating Expenses shall not include any expenses paid by any tenant directly to third parties, or as to which Lessor is otherwise reimbursed by any third party, other tenant, or insurance proceeds.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Payment</w:t>
            </w:r>
            <w:r>
              <w:rPr>
                <w:rFonts w:ascii="Times New Roman;Times;serif" w:hAnsi="Times New Roman;Times;serif"/>
                <w:caps w:val="false"/>
                <w:smallCaps w:val="false"/>
                <w:sz w:val="20"/>
              </w:rPr>
              <w:t>.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Security Deposit</w:t>
            </w:r>
            <w:r>
              <w:rPr>
                <w:rFonts w:ascii="Times New Roman;Times;serif" w:hAnsi="Times New Roman;Times;serif"/>
                <w:caps w:val="false"/>
                <w:smallCaps w:val="false"/>
                <w:sz w:val="20"/>
              </w:rPr>
              <w:t>. Lessee shall deposit with Lessor upon execution hereof the Security Deposit as security for Lessee's faithful performance of its obligations under this Lease. If Lessee fails to pay Rent, or otherwise Defaults under this Lease, Lessor may use, apply or retain all or any portion of said Security Deposit for the payment of any amount already due Lessor, for Rents which will be due in the future, and/or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Lessor shall upon written request provide Lessee with an accounting showing how that portion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535" w:type="dxa"/>
        <w:jc w:val="left"/>
        <w:tblInd w:w="0" w:type="dxa"/>
        <w:tblLayout w:type="fixed"/>
        <w:tblCellMar>
          <w:top w:w="0" w:type="dxa"/>
          <w:left w:w="0" w:type="dxa"/>
          <w:bottom w:w="0" w:type="dxa"/>
          <w:right w:w="0" w:type="dxa"/>
        </w:tblCellMar>
      </w:tblPr>
      <w:tblGrid>
        <w:gridCol w:w="170"/>
        <w:gridCol w:w="36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Use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Use</w:t>
            </w:r>
            <w:r>
              <w:rPr>
                <w:rFonts w:ascii="Times New Roman;Times;serif" w:hAnsi="Times New Roman;Times;serif"/>
                <w:caps w:val="false"/>
                <w:smallCaps w:val="false"/>
                <w:sz w:val="20"/>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replies. Lessor shall not unreasonably withhold or delay its consent to any written request for a 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 to the change in the Agreed Use.</w:t>
            </w:r>
          </w:p>
        </w:tc>
      </w:tr>
    </w:tbl>
    <w:p>
      <w:pPr>
        <w:pStyle w:val="TextBody"/>
        <w:bidi w:val="0"/>
        <w:spacing w:before="0" w:after="0"/>
        <w:ind w:left="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275"/>
        <w:gridCol w:w="19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19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Hazardous Substances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Reportable Uses Require Consent</w:t>
            </w:r>
            <w:r>
              <w:rPr>
                <w:rFonts w:ascii="Times New Roman;Times;serif" w:hAnsi="Times New Roman;Times;serif"/>
                <w:caps w:val="false"/>
                <w:smallCaps w:val="false"/>
                <w:sz w:val="20"/>
              </w:rPr>
              <w:t>. The term "Hazardous Substance" as used in this Lease shall mean any product, substance, or 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"Reportable Use"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Duty to Inform Lessor</w:t>
            </w:r>
            <w:r>
              <w:rPr>
                <w:rFonts w:ascii="Times New Roman;Times;serif" w:hAnsi="Times New Roman;Times;serif"/>
                <w:caps w:val="false"/>
                <w:smallCaps w:val="false"/>
                <w:sz w:val="20"/>
              </w:rPr>
              <w:t>. If Lessee knows, or has reasonable cause to believe, that a Hazardous Substance has come to be located in, on, 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 Remediation</w:t>
            </w:r>
            <w:r>
              <w:rPr>
                <w:rFonts w:ascii="Times New Roman;Times;serif" w:hAnsi="Times New Roman;Times;serif"/>
                <w:caps w:val="false"/>
                <w:smallCaps w:val="false"/>
                <w:sz w:val="20"/>
              </w:rPr>
              <w:t>. Lessee shall not cause or permit any Hazardous Substance to be spilled or released in, on, under, or about the 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 Indemnification</w:t>
            </w:r>
            <w:r>
              <w:rPr>
                <w:rFonts w:ascii="Times New Roman;Times;serif" w:hAnsi="Times New Roman;Times;serif"/>
                <w:caps w:val="false"/>
                <w:smallCaps w:val="false"/>
                <w:sz w:val="20"/>
              </w:rPr>
              <w:t>. Lessee shall indemnify, defend and hold Lessor, its agents, employees, lenders and ground lessor, if any, 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Lessor Indemnification</w:t>
            </w:r>
            <w:r>
              <w:rPr>
                <w:rFonts w:ascii="Times New Roman;Times;serif" w:hAnsi="Times New Roman;Times;serif"/>
                <w:caps w:val="false"/>
                <w:smallCaps w:val="false"/>
                <w:sz w:val="20"/>
              </w:rPr>
              <w:t>. Except as otherwise provided in paragraph 8.7, Lessor and its successors and assigns shall indemnify, defend, reimburse and hold Lessee, its employees and lenders, harmless from and against any and all environmental damages, including the cost of remediation, which are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Investigation and Remediations</w:t>
            </w:r>
            <w:r>
              <w:rPr>
                <w:rFonts w:ascii="Times New Roman;Times;serif" w:hAnsi="Times New Roman;Times;serif"/>
                <w:caps w:val="false"/>
                <w:smallCaps w:val="false"/>
                <w:sz w:val="20"/>
              </w:rPr>
              <w:t>. Lessor shall retain the responsibility and pay for any investigations or remediation measures required by governmental entities having 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Lessor Termination Option</w:t>
            </w:r>
            <w:r>
              <w:rPr>
                <w:rFonts w:ascii="Times New Roman;Times;serif" w:hAnsi="Times New Roman;Times;serif"/>
                <w:caps w:val="false"/>
                <w:smallCaps w:val="false"/>
                <w:sz w:val="20"/>
              </w:rPr>
              <w:t>. If a Hazardous Substance Condition (see Paragraph 9.1(e)) occurs during the term of this Lease, unless 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Lessee's Compliance with Applicable Requirements</w:t>
            </w:r>
            <w:r>
              <w:rPr>
                <w:rFonts w:ascii="Times New Roman;Times;serif" w:hAnsi="Times New Roman;Times;serif"/>
                <w:caps w:val="false"/>
                <w:smallCaps w:val="false"/>
                <w:sz w:val="20"/>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Inspection; Compliance</w:t>
            </w:r>
            <w:r>
              <w:rPr>
                <w:rFonts w:ascii="Times New Roman;Times;serif" w:hAnsi="Times New Roman;Times;serif"/>
                <w:caps w:val="false"/>
                <w:smallCaps w:val="false"/>
                <w:sz w:val="20"/>
              </w:rPr>
              <w:t>. Lessor and Lessor's "Lender" (as defined in Paragraph 30) and consultants authorized by Lessor shall have the right to enter into Premises at any 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(MSDS) to Lessor within 10 days of the receipt of written request therefor. Lessee acknowledges that any failure on its part to allow such inspections or testing will expose Lessor to risks and potentially cause Lessor to incur costs not contemplated by this Lease, the extent of which will be extremely difficult to ascertain. Accordingly, should the Lessee fail to allow such inspections and/or testing in a timely fashion the Base Rent shall be automatically increased, without any requirement for notice to Lessee, by an amount equal to 10% of the then existing Base Rent or $100, whichever is greater for the remainder to the Lease. The Parties agree that such increase in Base Rent represents fair and reasonable 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635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Maintenance; Repairs; Utility Installations; Trade Fixtures and Alterations</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275"/>
        <w:gridCol w:w="17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1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Obligations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 General</w:t>
            </w:r>
            <w:r>
              <w:rPr>
                <w:rFonts w:ascii="Times New Roman;Times;serif" w:hAnsi="Times New Roman;Times;serif"/>
                <w:caps w:val="false"/>
                <w:smallCaps w:val="false"/>
                <w:sz w:val="20"/>
              </w:rPr>
              <w:t>. Subject to the provisions of Paragraph 2.2 (Condition), 2.3 (Compliance), 6.3 (Lessee's Compliance with Applicable 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Service Contracts</w:t>
            </w:r>
            <w:r>
              <w:rPr>
                <w:rFonts w:ascii="Times New Roman;Times;serif" w:hAnsi="Times New Roman;Times;serif"/>
                <w:caps w:val="false"/>
                <w:smallCaps w:val="false"/>
                <w:sz w:val="20"/>
              </w:rPr>
              <w:t>. Lessee shall, at Lessee's sole expense, procure and maintain contracts, with copies to Lessor, in customary form and substance for, and with 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Failure to Perform</w:t>
            </w:r>
            <w:r>
              <w:rPr>
                <w:rFonts w:ascii="Times New Roman;Times;serif" w:hAnsi="Times New Roman;Times;serif"/>
                <w:caps w:val="false"/>
                <w:smallCaps w:val="false"/>
                <w:sz w:val="20"/>
              </w:rPr>
              <w:t>. If Lessee fails to perform Lessee's obligations under this Paragraph 7.1, Lessor may enter upon the Premises after 10 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Replacement</w:t>
            </w:r>
            <w:r>
              <w:rPr>
                <w:rFonts w:ascii="Times New Roman;Times;serif" w:hAnsi="Times New Roman;Times;serif"/>
                <w:caps w:val="false"/>
                <w:smallCaps w:val="false"/>
                <w:sz w:val="20"/>
              </w:rPr>
              <w:t>. Subject to Lessee's indemnification of Lessor as set forth in Paragraph 8.7 below, and without relieving Lessee of liability resulting 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Lessor's Obligations</w:t>
            </w:r>
            <w:r>
              <w:rPr>
                <w:rFonts w:ascii="Times New Roman;Times;serif" w:hAnsi="Times New Roman;Times;serif"/>
                <w:caps w:val="false"/>
                <w:smallCaps w:val="false"/>
                <w:sz w:val="20"/>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465" w:type="dxa"/>
        <w:jc w:val="left"/>
        <w:tblInd w:w="0" w:type="dxa"/>
        <w:tblLayout w:type="fixed"/>
        <w:tblCellMar>
          <w:top w:w="0" w:type="dxa"/>
          <w:left w:w="0" w:type="dxa"/>
          <w:bottom w:w="0" w:type="dxa"/>
          <w:right w:w="0" w:type="dxa"/>
        </w:tblCellMar>
      </w:tblPr>
      <w:tblGrid>
        <w:gridCol w:w="60"/>
        <w:gridCol w:w="275"/>
        <w:gridCol w:w="41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4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Utility Installations; Trade Fixtures; Alterations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Definitions</w:t>
            </w:r>
            <w:r>
              <w:rPr>
                <w:rFonts w:ascii="Times New Roman;Times;serif" w:hAnsi="Times New Roman;Times;serif"/>
                <w:caps w:val="false"/>
                <w:smallCaps w:val="false"/>
                <w:sz w:val="20"/>
              </w:rPr>
              <w:t>. The term "Utility Installations" refers to all floor and window coverings, air and/or vacuum lines, power panels, electrical distribution, security and fire protection systems, communication cabling, lighting fixtures, HVAC equipment, plumbing, and fencing in or on the Premises. The term "Trade Fixtures" shall mean Lessee's machinery and equipment that can be removed without doing material damage to the Premises. The term "Alterations" shall mean any modification of the improvements, other than Utility Installations or Trade Fixtures, whether by addition or deletion. "Lessee Owned Alterations and/or Utility Installations" are defined as Alterations and/or Utility Installations made by Lessee that are not yet owned by Lessor pursuant to Paragraph 7.4(a).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Consent</w:t>
            </w:r>
            <w:r>
              <w:rPr>
                <w:rFonts w:ascii="Times New Roman;Times;serif" w:hAnsi="Times New Roman;Times;serif"/>
                <w:caps w:val="false"/>
                <w:smallCaps w:val="false"/>
                <w:sz w:val="20"/>
              </w:rPr>
              <w:t>. Lessee shall not make any Alterations or Utility Installations to the Premises without Lessor's prior written consent. Lessee may, however, 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do not trigger the requirement for additional modifications and/or improvements to the Premises resulting from Applicable Requirements, such as compliance with Title 24,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 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Liens; Bonds</w:t>
            </w:r>
            <w:r>
              <w:rPr>
                <w:rFonts w:ascii="Times New Roman;Times;serif" w:hAnsi="Times New Roman;Times;serif"/>
                <w:caps w:val="false"/>
                <w:smallCaps w:val="false"/>
                <w:sz w:val="20"/>
              </w:rPr>
              <w:t>. Lessee shall pay, when due, all claims for labor or materials furnished or alleged to have been furnished to or for 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claimor demand, indemnifying Lessor against liability for the same. If Lessor elects to participate in any such action, Lessee shall pay Lessor's attorneys' fees and costs.</w:t>
            </w:r>
          </w:p>
        </w:tc>
      </w:tr>
    </w:tbl>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275"/>
        <w:gridCol w:w="42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4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Ownership; Removal; Surrender; and Restoration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Ownership</w:t>
            </w:r>
            <w:r>
              <w:rPr>
                <w:rFonts w:ascii="Times New Roman;Times;serif" w:hAnsi="Times New Roman;Times;serif"/>
                <w:caps w:val="false"/>
                <w:smallCaps w:val="false"/>
                <w:sz w:val="20"/>
              </w:rPr>
              <w:t>. Subject to Lessor's right to require removal or elect ownership as hereinafter provided, all Alterations and Utility Installations 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Removal</w:t>
            </w:r>
            <w:r>
              <w:rPr>
                <w:rFonts w:ascii="Times New Roman;Times;serif" w:hAnsi="Times New Roman;Times;serif"/>
                <w:caps w:val="false"/>
                <w:smallCaps w:val="false"/>
                <w:sz w:val="20"/>
              </w:rPr>
              <w:t>. By delivery to Lessee of written notice from Lessor not earlier than 90 and not later than 30 days prior to the end of the term of 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3"/>
        <w:gridCol w:w="9972"/>
      </w:tblGrid>
      <w:tr>
        <w:trPr/>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Surrender; Restoration</w:t>
            </w:r>
            <w:r>
              <w:rPr>
                <w:rFonts w:ascii="Times New Roman;Times;serif" w:hAnsi="Times New Roman;Times;serif"/>
                <w:caps w:val="false"/>
                <w:smallCaps w:val="false"/>
                <w:sz w:val="20"/>
              </w:rPr>
              <w:t>. Lessee shall surrender the Premises by the Expiration Date or any earlier termination date, with all of the 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and the provisions of Paragraph 7.1(a),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Project)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183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 Indemnity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Payment of Premiums</w:t>
            </w:r>
            <w:r>
              <w:rPr>
                <w:rFonts w:ascii="Times New Roman;Times;serif" w:hAnsi="Times New Roman;Times;serif"/>
                <w:caps w:val="false"/>
                <w:smallCaps w:val="false"/>
                <w:sz w:val="20"/>
              </w:rPr>
              <w:t>. The cost of the premiums for the insurance policies required to be carried by Lessor, pursuant to Paragraphs 8.2(b), 8.3(a) and 8.3(b), shall be a Common Area Operating Expense. Premiums for policy periods commencing prior to, or extending beyond, the term of this Lease shall be prorated to coincide with the corresponding Start Date or Expiration Date.</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275"/>
        <w:gridCol w:w="16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165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Liability Insurance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Carried by Lessee</w:t>
            </w:r>
            <w:r>
              <w:rPr>
                <w:rFonts w:ascii="Times New Roman;Times;serif" w:hAnsi="Times New Roman;Times;serif"/>
                <w:caps w:val="false"/>
                <w:smallCaps w:val="false"/>
                <w:sz w:val="20"/>
              </w:rPr>
              <w:t>. Lessee shall obtain and keep in force a Commercial General Liability policy of insurance protecting Lessee and Lessor 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 Managers or Lessors of Premises" Endorsement. The policy shall not contain any intrainsured exclusions as between insured persons or organizations, but shall include coverage for liability assumed under this Lease as an "</w:t>
            </w:r>
            <w:r>
              <w:rPr>
                <w:rFonts w:ascii="Times New Roman;Times;serif" w:hAnsi="Times New Roman;Times;serif"/>
                <w:b/>
                <w:caps w:val="false"/>
                <w:smallCaps w:val="false"/>
                <w:sz w:val="20"/>
              </w:rPr>
              <w:t>insured contract</w:t>
            </w:r>
            <w:r>
              <w:rPr>
                <w:rFonts w:ascii="Times New Roman;Times;serif" w:hAnsi="Times New Roman;Times;serif"/>
                <w:caps w:val="false"/>
                <w:smallCaps w:val="false"/>
                <w:sz w:val="20"/>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Carried by Lessor</w:t>
            </w:r>
            <w:r>
              <w:rPr>
                <w:rFonts w:ascii="Times New Roman;Times;serif" w:hAnsi="Times New Roman;Times;serif"/>
                <w:caps w:val="false"/>
                <w:smallCaps w:val="false"/>
                <w:sz w:val="20"/>
              </w:rPr>
              <w:t>. Lessor shall maintain liability insurance as described in Paragraph 8.2(a), in addition to, and not in lieu of, the insurance required to be maintained by Lessee. Lessee shall not be named as an additional insured therein.</w:t>
            </w:r>
          </w:p>
        </w:tc>
      </w:tr>
    </w:tbl>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275"/>
        <w:gridCol w:w="54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5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Property Insurance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Building, Improvements, and Rental Value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Building and Improvements. </w:t>
            </w:r>
            <w:r>
              <w:rPr>
                <w:rFonts w:ascii="Times New Roman;Times;serif" w:hAnsi="Times New Roman;Times;serif"/>
                <w:caps w:val="false"/>
                <w:smallCaps w:val="false"/>
                <w:sz w:val="20"/>
              </w:rPr>
              <w:t>Lessor shall obtain and keep in force a policy or policies of insurance in the name of Lessor, with loss payable to Lessor, any ground 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Rental Value.</w:t>
            </w:r>
            <w:r>
              <w:rPr>
                <w:rFonts w:ascii="Times New Roman;Times;serif" w:hAnsi="Times New Roman;Times;serif"/>
                <w:caps w:val="false"/>
                <w:smallCaps w:val="false"/>
                <w:sz w:val="20"/>
              </w:rPr>
              <w:t> Lessor shall also obtain and keep in force a policy or policies in the name of Lessor with loss payable to Lessor and any Lender, insuring the loss of 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Adjacent Premises.</w:t>
            </w:r>
            <w:r>
              <w:rPr>
                <w:rFonts w:ascii="Times New Roman;Times;serif" w:hAnsi="Times New Roman;Times;serif"/>
                <w:caps w:val="false"/>
                <w:smallCaps w:val="false"/>
                <w:sz w:val="20"/>
              </w:rPr>
              <w:t> Lessee shall pay for any increase in the premiums for the property insurance of the Building and for the Common Areas or other buildings in the Project if said increase is caused by Lessee's acts, omissions, use or occupancy of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Improvements.</w:t>
            </w:r>
            <w:r>
              <w:rPr>
                <w:rFonts w:ascii="Times New Roman;Times;serif" w:hAnsi="Times New Roman;Times;serif"/>
                <w:caps w:val="false"/>
                <w:smallCaps w:val="false"/>
                <w:sz w:val="20"/>
              </w:rPr>
              <w:t> Since Lessor is the Insuring Party, Lessor shall not be required to insure Lessee Owned Alterations and Utility Installations unless the item in question has become the property of Lessor under the terms of this Lease.</w:t>
            </w:r>
          </w:p>
        </w:tc>
      </w:tr>
    </w:tbl>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60"/>
        <w:gridCol w:w="275"/>
        <w:gridCol w:w="7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7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Property; Business Interruption Insurance; Worker</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Compensation Insurance.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Property Damage</w:t>
            </w:r>
            <w:r>
              <w:rPr>
                <w:rFonts w:ascii="Times New Roman;Times;serif" w:hAnsi="Times New Roman;Times;serif"/>
                <w:caps w:val="false"/>
                <w:smallCaps w:val="false"/>
                <w:sz w:val="20"/>
              </w:rPr>
              <w:t>. Lessee shall obtain and maintain insurance coverage on all of Lessee's personal property, Trade Fixtures, and Lessee 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Business Interruption. </w:t>
            </w:r>
            <w:r>
              <w:rPr>
                <w:rFonts w:ascii="Times New Roman;Times;serif" w:hAnsi="Times New Roman;Times;serif"/>
                <w:caps w:val="false"/>
                <w:smallCaps w:val="false"/>
                <w:sz w:val="20"/>
              </w:rPr>
              <w:t>Lessee shall obtain and maintain loss of income and extra expense insurance in amounts as will reimburse Lessee for direct or indirect loss of earnings attributable to all perils commonly insured against by prudent lessees in the business of Lessee or attributable to prevention of access to the Premises as a result of such perils.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Worker</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Compensation Insurance.</w:t>
            </w:r>
            <w:r>
              <w:rPr>
                <w:rFonts w:ascii="Times New Roman;Times;serif" w:hAnsi="Times New Roman;Times;serif"/>
                <w:caps w:val="false"/>
                <w:smallCaps w:val="false"/>
                <w:sz w:val="20"/>
              </w:rPr>
              <w:t> Lessee shall obtain and maintain Worker's Compensation Insurance in such amount as may be required by Applicable Requirements. Such policy shall include a 'Waiver of Subrogation' endorsement. Lessee shall provide Lessor with a copy of such endorsement along with the certificate of insurance or copy of the policy required by paragraph 8.5.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Representation of Adequate Coverage</w:t>
            </w:r>
            <w:r>
              <w:rPr>
                <w:rFonts w:ascii="Times New Roman;Times;serif" w:hAnsi="Times New Roman;Times;serif"/>
                <w:caps w:val="false"/>
                <w:smallCaps w:val="false"/>
                <w:sz w:val="20"/>
              </w:rPr>
              <w:t>. Lessor makes no representation that the limits or forms of coverage of insurance specified herein are adequate to cover Lessee's property, business operations or obligations under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Insurance Policies. </w:t>
            </w:r>
            <w:r>
              <w:rPr>
                <w:rFonts w:ascii="Times New Roman;Times;serif" w:hAnsi="Times New Roman;Times;serif"/>
                <w:caps w:val="false"/>
                <w:smallCaps w:val="false"/>
                <w:sz w:val="20"/>
              </w:rPr>
              <w:t>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Waiver of Subrogation.</w:t>
            </w:r>
            <w:r>
              <w:rPr>
                <w:rFonts w:ascii="Times New Roman;Times;serif" w:hAnsi="Times New Roman;Times;serif"/>
                <w:caps w:val="false"/>
                <w:smallCaps w:val="false"/>
                <w:sz w:val="20"/>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Indemnity.</w:t>
            </w:r>
            <w:r>
              <w:rPr>
                <w:rFonts w:ascii="Times New Roman;Times;serif" w:hAnsi="Times New Roman;Times;serif"/>
                <w:caps w:val="false"/>
                <w:smallCaps w:val="false"/>
                <w:sz w:val="20"/>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 Except for Lessee's gross negligence or willful misconduct, Lessor shall indemnify, protect, defend and hold harmless Lessee from and against any and all claims, loss of rents and/or damages, liens, judgement, penalties, attorneys' and consultants' fee, expenses and/or liabilities arising out of, involving, or in connection with, a Breach of the Lease by Lessor and or the use/occupancy of the Premises or Project by Lessor, its employees, contractors or invitees. If any action or proceeding is brought against Lessee by reason of any of the foregoing matters, Lessor shall upon notice, defend the same at Lessor's expense by counsel reasonably satisfactory to Lessee and Lessee shall cooperate with Lessor in such defense. Lessee need not have first paid any such claim in order to be defended or indemnified.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Exemption of Lessor and its Agent from Liability.</w:t>
            </w:r>
            <w:r>
              <w:rPr>
                <w:rFonts w:ascii="Times New Roman;Times;serif" w:hAnsi="Times New Roman;Times;serif"/>
                <w:caps w:val="false"/>
                <w:smallCaps w:val="false"/>
                <w:sz w:val="20"/>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Failure to Provide Insurance.</w:t>
            </w:r>
            <w:r>
              <w:rPr>
                <w:rFonts w:ascii="Times New Roman;Times;serif" w:hAnsi="Times New Roman;Times;serif"/>
                <w:caps w:val="false"/>
                <w:smallCaps w:val="false"/>
                <w:sz w:val="20"/>
              </w:rPr>
              <w:t>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70"/>
        <w:gridCol w:w="21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2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Damages or Destruction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60"/>
        <w:gridCol w:w="275"/>
        <w:gridCol w:w="9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Premises Partial Damage</w:t>
            </w:r>
            <w:r>
              <w:rPr>
                <w:rFonts w:ascii="Times New Roman;Times;serif" w:hAnsi="Times New Roman;Times;serif"/>
                <w:caps w:val="false"/>
                <w:smallCaps w:val="false"/>
                <w:sz w:val="20"/>
              </w:rPr>
              <w:t>" shall mean damage or destruction to the improvements on the Premises, other than Lessee Owned Alterations and Utility Installations, which can reasonably be repaired in 3months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Premises Total Destruction</w:t>
            </w:r>
            <w:r>
              <w:rPr>
                <w:rFonts w:ascii="Times New Roman;Times;serif" w:hAnsi="Times New Roman;Times;serif"/>
                <w:caps w:val="false"/>
                <w:smallCaps w:val="false"/>
                <w:sz w:val="20"/>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Insured Loss</w:t>
            </w:r>
            <w:r>
              <w:rPr>
                <w:rFonts w:ascii="Times New Roman;Times;serif" w:hAnsi="Times New Roman;Times;serif"/>
                <w:caps w:val="false"/>
                <w:smallCaps w:val="false"/>
                <w:sz w:val="20"/>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Replacement Cost</w:t>
            </w:r>
            <w:r>
              <w:rPr>
                <w:rFonts w:ascii="Times New Roman;Times;serif" w:hAnsi="Times New Roman;Times;serif"/>
                <w:caps w:val="false"/>
                <w:smallCaps w:val="false"/>
                <w:sz w:val="20"/>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Hazardous Substance Condition</w:t>
            </w:r>
            <w:r>
              <w:rPr>
                <w:rFonts w:ascii="Times New Roman;Times;serif" w:hAnsi="Times New Roman;Times;serif"/>
                <w:caps w:val="false"/>
                <w:smallCaps w:val="false"/>
                <w:sz w:val="20"/>
              </w:rPr>
              <w:t>" shall mean the occurrence or discovery of a condition involving the presence of, or a contamination by, a Hazardous Substance, in, on, or under the Premises which requires restoration.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Partial Damage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Insured Loss</w:t>
            </w:r>
            <w:r>
              <w:rPr>
                <w:rFonts w:ascii="Times New Roman;Times;serif" w:hAnsi="Times New Roman;Times;serif"/>
                <w:caps w:val="false"/>
                <w:smallCaps w:val="false"/>
                <w:sz w:val="20"/>
              </w:rPr>
              <w:t>. Ifa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Partial Damage Uninsured Loss.</w:t>
            </w:r>
            <w:r>
              <w:rPr>
                <w:rFonts w:ascii="Times New Roman;Times;serif" w:hAnsi="Times New Roman;Times;serif"/>
                <w:caps w:val="false"/>
                <w:smallCaps w:val="false"/>
                <w:sz w:val="20"/>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(subject to reimbursement pursuant to Paragraph 4.2),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Destruction</w:t>
            </w:r>
            <w:r>
              <w:rPr>
                <w:rFonts w:ascii="Times New Roman;Times;serif" w:hAnsi="Times New Roman;Times;serif"/>
                <w:caps w:val="false"/>
                <w:smallCaps w:val="false"/>
                <w:sz w:val="20"/>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Damage Near End of Term.</w:t>
            </w:r>
            <w:r>
              <w:rPr>
                <w:rFonts w:ascii="Times New Roman;Times;serif" w:hAnsi="Times New Roman;Times;serif"/>
                <w:caps w:val="false"/>
                <w:smallCaps w:val="false"/>
                <w:sz w:val="20"/>
              </w:rPr>
              <w:t>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275"/>
        <w:gridCol w:w="32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c>
          <w:tcPr>
            <w:tcW w:w="3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Abatement of Rent; Lessee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Remedies.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Abatement</w:t>
            </w:r>
            <w:r>
              <w:rPr>
                <w:rFonts w:ascii="Times New Roman;Times;serif" w:hAnsi="Times New Roman;Times;serif"/>
                <w:caps w:val="false"/>
                <w:smallCaps w:val="false"/>
                <w:sz w:val="20"/>
              </w:rPr>
              <w:t>. In the event of Premises Partial Damage or Premises Total Destruction or a Hazardous Substance Condition for which 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Remedies. </w:t>
            </w:r>
            <w:r>
              <w:rPr>
                <w:rFonts w:ascii="Times New Roman;Times;serif" w:hAnsi="Times New Roman;Times;serif"/>
                <w:caps w:val="false"/>
                <w:smallCaps w:val="false"/>
                <w:sz w:val="20"/>
              </w:rPr>
              <w:t>If Lessor is obligated to repair or restore the Premises and does not commence, in a substantial and meaningful way, such 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Advance Payments.</w:t>
            </w:r>
            <w:r>
              <w:rPr>
                <w:rFonts w:ascii="Times New Roman;Times;serif" w:hAnsi="Times New Roman;Times;serif"/>
                <w:caps w:val="false"/>
                <w:smallCaps w:val="false"/>
                <w:sz w:val="20"/>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18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Real Property Taxes.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w:t>
            </w:r>
            <w:r>
              <w:rPr>
                <w:rFonts w:ascii="Times New Roman;Times;serif" w:hAnsi="Times New Roman;Times;serif"/>
                <w:caps w:val="false"/>
                <w:smallCaps w:val="false"/>
                <w:sz w:val="20"/>
              </w:rPr>
              <w:t> As used herein, the term "</w:t>
            </w:r>
            <w:r>
              <w:rPr>
                <w:rFonts w:ascii="Times New Roman;Times;serif" w:hAnsi="Times New Roman;Times;serif"/>
                <w:b/>
                <w:caps w:val="false"/>
                <w:smallCaps w:val="false"/>
                <w:sz w:val="20"/>
              </w:rPr>
              <w:t>Real Property Taxes</w:t>
            </w:r>
            <w:r>
              <w:rPr>
                <w:rFonts w:ascii="Times New Roman;Times;serif" w:hAnsi="Times New Roman;Times;serif"/>
                <w:caps w:val="false"/>
                <w:smallCaps w:val="false"/>
                <w:sz w:val="20"/>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Payment of Taxes</w:t>
            </w:r>
            <w:r>
              <w:rPr>
                <w:rFonts w:ascii="Times New Roman;Times;serif" w:hAnsi="Times New Roman;Times;serif"/>
                <w:caps w:val="false"/>
                <w:smallCaps w:val="false"/>
                <w:sz w:val="20"/>
              </w:rPr>
              <w:t>. Except as otherwise provided in Paragraph 10.3, Lessor shall pay the Real Property Taxes applicable to the Project, and said payments shall be included in the calculation of Common Area Operating Expenses in accordance with the provisions of Paragraph 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Additional Improvements.</w:t>
            </w:r>
            <w:r>
              <w:rPr>
                <w:rFonts w:ascii="Times New Roman;Times;serif" w:hAnsi="Times New Roman;Times;serif"/>
                <w:caps w:val="false"/>
                <w:smallCaps w:val="false"/>
                <w:sz w:val="20"/>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Joint Assessment</w:t>
            </w:r>
            <w:r>
              <w:rPr>
                <w:rFonts w:ascii="Times New Roman;Times;serif" w:hAnsi="Times New Roman;Times;serif"/>
                <w:caps w:val="false"/>
                <w:smallCaps w:val="false"/>
                <w:sz w:val="20"/>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Personal Property Taxes</w:t>
            </w:r>
            <w:r>
              <w:rPr>
                <w:rFonts w:ascii="Times New Roman;Times;serif" w:hAnsi="Times New Roman;Times;serif"/>
                <w:caps w:val="false"/>
                <w:smallCaps w:val="false"/>
                <w:sz w:val="20"/>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Utilities and Services</w:t>
            </w:r>
            <w:r>
              <w:rPr>
                <w:rFonts w:ascii="Times New Roman;Times;serif" w:hAnsi="Times New Roman;Times;serif"/>
                <w:caps w:val="false"/>
                <w:smallCaps w:val="false"/>
                <w:sz w:val="20"/>
              </w:rPr>
              <w:t>. Lessee shall pay for all water, gas, heat, light, power, telephone, trash disposal and other utilities and services supplied to the Premises, together with any taxes thereon.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increase Lessee's Base Rent by an amount 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Within fifteen days of Lessor’s written request, Lessee agrees to deliver to Lessor such information, documents and/or authorization as Lessor needs in order for Lessor to comply with new or existing Applicable Requirements relating to commercial building energy usage, ratings, and/or the reporting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 and Subletting.</w:t>
            </w:r>
          </w:p>
        </w:tc>
      </w:tr>
    </w:tbl>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380"/>
        <w:gridCol w:w="22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2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Lessor’s Consent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not voluntarily or by operation of law assign, transfer, mortgage or encumber (collectively, "assign or assignment") or sublet all or any part of Lessee's interest in this Lease or in the Premises without Lessor's prior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"Net Worth of Lessee" shall mean the net worth of Lessee (excluding any guarantors) established under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Lessee's remedy for any breach of Paragraph 12.1 by Lessor shall be limited to compensatory damages and/or injunctive relief.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 may reasonably withhold consent to a proposed assignment or subletting if Lessee is in Default at the time consent is requested.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9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the foregoing, allowing a de minimis portion of the Premises, i.e., 20 square feet or less, to be used by a third party vendor in connection with the installation of a vending machine or payphone shall not constitute a subletting.</w:t>
            </w:r>
          </w:p>
        </w:tc>
      </w:tr>
    </w:tbl>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380"/>
        <w:gridCol w:w="52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Terms and Conditions Applicable to Assignment and Subletting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Regardless of Lessor's consent, no assignment or subletting shall :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Lessor's consent to any assignment or subletting shall not constitute a consent to any subsequent assignment or subletting.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9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Lessor's consent to any assignment or subletting shall not transfer to the assignee or sublessee any Option granted to the original Lessee by this Lease unless such transfer is specifically consented to by Lessor in writing. (See Paragraph 39.2)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Additional Terms and Conditions Applicable to Subletting</w:t>
            </w:r>
            <w:r>
              <w:rPr>
                <w:rFonts w:ascii="Times New Roman;Times;serif" w:hAnsi="Times New Roman;Times;serif"/>
                <w:caps w:val="false"/>
                <w:smallCaps w:val="false"/>
                <w:sz w:val="20"/>
              </w:rPr>
              <w:t>. The following terms and conditions shall apply to any subletting by Lessee of all or any part of the Premises and shall be deemed included in all subleases under this Lease whether or not expressly incorporated therein: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tc>
      </w:tr>
    </w:tbl>
    <w:p>
      <w:pPr>
        <w:pStyle w:val="TextBody"/>
        <w:bidi w:val="0"/>
        <w:spacing w:before="0" w:after="0"/>
        <w:ind w:left="0" w:right="0" w:hanging="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230"/>
        <w:gridCol w:w="86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matter requiring the consent of the sublessor under a sublease shall also require the consent of Lessor.</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245"/>
        <w:gridCol w:w="89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8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sublessee shall further assign or sublet all or any part of the Premises without Lessor's prior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23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 Breach; Remedies.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Default; Breach. </w:t>
            </w:r>
            <w:r>
              <w:rPr>
                <w:rFonts w:ascii="Times New Roman;Times;serif" w:hAnsi="Times New Roman;Times;serif"/>
                <w:caps w:val="false"/>
                <w:smallCaps w:val="false"/>
                <w:sz w:val="20"/>
              </w:rPr>
              <w:t>A "</w:t>
            </w:r>
            <w:r>
              <w:rPr>
                <w:rFonts w:ascii="Times New Roman;Times;serif" w:hAnsi="Times New Roman;Times;serif"/>
                <w:b/>
                <w:caps w:val="false"/>
                <w:smallCaps w:val="false"/>
                <w:sz w:val="20"/>
              </w:rPr>
              <w:t>Default</w:t>
            </w:r>
            <w:r>
              <w:rPr>
                <w:rFonts w:ascii="Times New Roman;Times;serif" w:hAnsi="Times New Roman;Times;serif"/>
                <w:caps w:val="false"/>
                <w:smallCaps w:val="false"/>
                <w:sz w:val="20"/>
              </w:rPr>
              <w:t>" is defined as a failure by the Lessee to comply with or perform any of the terms, covenants, conditions or Rules and Regulations under this Lease. A "</w:t>
            </w:r>
            <w:r>
              <w:rPr>
                <w:rFonts w:ascii="Times New Roman;Times;serif" w:hAnsi="Times New Roman;Times;serif"/>
                <w:b/>
                <w:caps w:val="false"/>
                <w:smallCaps w:val="false"/>
                <w:sz w:val="20"/>
              </w:rPr>
              <w:t>Breach</w:t>
            </w:r>
            <w:r>
              <w:rPr>
                <w:rFonts w:ascii="Times New Roman;Times;serif" w:hAnsi="Times New Roman;Times;serif"/>
                <w:caps w:val="false"/>
                <w:smallCaps w:val="false"/>
                <w:sz w:val="20"/>
              </w:rPr>
              <w:t>" is defined as the occurrence of one or more of the following Defaults, and the failure of Lessee to cure such Default within any applicable grace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AWAIVER OF ANY OF LESSOR'S RIGHTS, INCLUDING LESSOR'S RIGHTTO RECOVER POSSESSION OF THE PREMISES.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41, (viii) material safety data sheets (MSDS), or (ix) any other documentation or information which Lessor may reasonably require of Lessee under the terms of this Lease, where any such failure continues for a period of 10 days following written notice to Lessee.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Default by Lessee as to the terms, covenants, conditions or provisions of this Lease, or of the rules adopted under Paragraph 2.9 hereof, other than those described in subparagraphs 13.1(a), (b), (c) or (d), above, where such Default continues fora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of any of the following events: (i) the making of any general arrangement or assignment for the benefit of creditors; (ii) becoming a "debtor"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245"/>
        <w:gridCol w:w="88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8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discovery that any financial statement of Lessee or of any Guarantor given to Lessor was materially false.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Remedies</w:t>
            </w:r>
            <w:r>
              <w:rPr>
                <w:rFonts w:ascii="Times New Roman;Times;serif" w:hAnsi="Times New Roman;Times;serif"/>
                <w:caps w:val="false"/>
                <w:smallCaps w:val="false"/>
                <w:sz w:val="20"/>
              </w:rPr>
              <w:t>.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Inducement Recapture</w:t>
            </w:r>
            <w:r>
              <w:rPr>
                <w:rFonts w:ascii="Times New Roman;Times;serif" w:hAnsi="Times New Roman;Times;serif"/>
                <w:caps w:val="false"/>
                <w:smallCaps w:val="false"/>
                <w:sz w:val="20"/>
              </w:rPr>
              <w:t>.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"Inducement Provisions,"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Late Charges</w:t>
            </w:r>
            <w:r>
              <w:rPr>
                <w:rFonts w:ascii="Times New Roman;Times;serif" w:hAnsi="Times New Roman;Times;serif"/>
                <w:caps w:val="false"/>
                <w:smallCaps w:val="false"/>
                <w:sz w:val="20"/>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 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Interest</w:t>
            </w:r>
            <w:r>
              <w:rPr>
                <w:rFonts w:ascii="Times New Roman;Times;serif" w:hAnsi="Times New Roman;Times;serif"/>
                <w:caps w:val="false"/>
                <w:smallCaps w:val="false"/>
                <w:sz w:val="20"/>
              </w:rPr>
              <w:t>. Any monetary payment due Lessor hereunder, other than late charges, not received by Lessor, when due shall bear interest from the 31st day after it was due. The interest ("Interest") charged shall be computed at the rate of 10% per annum but shall not exceed the maximum rate allowed by law. Interest is payable in addition to the potential late charge provided for in Paragraph 13.4.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990" w:type="dxa"/>
        <w:jc w:val="left"/>
        <w:tblInd w:w="0" w:type="dxa"/>
        <w:tblLayout w:type="fixed"/>
        <w:tblCellMar>
          <w:top w:w="0" w:type="dxa"/>
          <w:left w:w="0" w:type="dxa"/>
          <w:bottom w:w="0" w:type="dxa"/>
          <w:right w:w="0" w:type="dxa"/>
        </w:tblCellMar>
      </w:tblPr>
      <w:tblGrid>
        <w:gridCol w:w="60"/>
        <w:gridCol w:w="380"/>
        <w:gridCol w:w="15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c>
          <w:tcPr>
            <w:tcW w:w="15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Breach by Lessor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 of Breach</w:t>
            </w:r>
            <w:r>
              <w:rPr>
                <w:rFonts w:ascii="Times New Roman;Times;serif" w:hAnsi="Times New Roman;Times;serif"/>
                <w:caps w:val="false"/>
                <w:smallCaps w:val="false"/>
                <w:sz w:val="20"/>
              </w:rPr>
              <w:t>. Lessor shall not be deemed in breach of this Lease unless Lessor fails within a reasonable time to perform an obligation required to be performed by Lessor. For purposes of this Paragraph,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Performance by Lessee on Behalf of Lessor</w:t>
            </w:r>
            <w:r>
              <w:rPr>
                <w:rFonts w:ascii="Times New Roman;Times;serif" w:hAnsi="Times New Roman;Times;serif"/>
                <w:caps w:val="false"/>
                <w:smallCaps w:val="false"/>
                <w:sz w:val="20"/>
              </w:rPr>
              <w:t>. In the event that neither Lessor nor Lender cures said breach within 30 days after 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Condemnation</w:t>
            </w:r>
            <w:r>
              <w:rPr>
                <w:rFonts w:ascii="Times New Roman;Times;serif" w:hAnsi="Times New Roman;Times;serif"/>
                <w:caps w:val="false"/>
                <w:smallCaps w:val="false"/>
                <w:sz w:val="20"/>
              </w:rPr>
              <w:t>. If the Premises or any portion thereof are taken under the power of eminent domain or sold under the threat of the exercise of said power (collectively "</w:t>
            </w:r>
            <w:r>
              <w:rPr>
                <w:rFonts w:ascii="Times New Roman;Times;serif" w:hAnsi="Times New Roman;Times;serif"/>
                <w:b/>
                <w:caps w:val="false"/>
                <w:smallCaps w:val="false"/>
                <w:sz w:val="20"/>
              </w:rPr>
              <w:t>Condemnation</w:t>
            </w:r>
            <w:r>
              <w:rPr>
                <w:rFonts w:ascii="Times New Roman;Times;serif" w:hAnsi="Times New Roman;Times;serif"/>
                <w:caps w:val="false"/>
                <w:smallCaps w:val="false"/>
                <w:sz w:val="20"/>
              </w:rPr>
              <w:t>"), 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3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Brokerage Fees. </w:t>
            </w:r>
            <w:r>
              <w:rPr>
                <w:rFonts w:ascii="Times New Roman;Times;serif" w:hAnsi="Times New Roman;Times;serif"/>
                <w:caps w:val="false"/>
                <w:smallCaps w:val="false"/>
                <w:sz w:val="20"/>
              </w:rPr>
              <w:t>Omitted intentionally.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1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Estoppel Certificates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Party (as "Responding Party") shall within 10 days after written notice from the other Party (the "Requesting Party") execute, acknowledge and deliver to the Requesting Party a statement in writing in form similar to the then most current "Estoppel Certificate" form published BY AIR CRE, plus such additional information, confirmation and/or statements as may be reasonably requested by the Requesting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 of Lessor</w:t>
            </w:r>
            <w:r>
              <w:rPr>
                <w:rFonts w:ascii="Times New Roman;Times;serif" w:hAnsi="Times New Roman;Times;serif"/>
                <w:caps w:val="false"/>
                <w:smallCaps w:val="false"/>
                <w:sz w:val="20"/>
              </w:rPr>
              <w:t>. The term "Lessor" as used herein shall mean the owner or owners at the time in question of the fee title to the Premises, or, 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Severability</w:t>
            </w:r>
            <w:r>
              <w:rPr>
                <w:rFonts w:ascii="Times New Roman;Times;serif" w:hAnsi="Times New Roman;Times;serif"/>
                <w:caps w:val="false"/>
                <w:smallCaps w:val="false"/>
                <w:sz w:val="20"/>
              </w:rPr>
              <w:t>. The invalidity of any provision of this Lease, as determined by a court of competent jurisdiction, shall in no way affect the validity of any other provision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99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Days</w:t>
            </w:r>
            <w:r>
              <w:rPr>
                <w:rFonts w:ascii="Times New Roman;Times;serif" w:hAnsi="Times New Roman;Times;serif"/>
                <w:caps w:val="false"/>
                <w:smallCaps w:val="false"/>
                <w:sz w:val="20"/>
              </w:rPr>
              <w:t>. Unless otherwise specifically indicated to the contrary, the word "days" as used in this Lease shall mean and refer to calendar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Limitation on Liability</w:t>
            </w:r>
            <w:r>
              <w:rPr>
                <w:rFonts w:ascii="Times New Roman;Times;serif" w:hAnsi="Times New Roman;Times;serif"/>
                <w:caps w:val="false"/>
                <w:smallCaps w:val="false"/>
                <w:sz w:val="20"/>
              </w:rPr>
              <w:t>. The obligations of Lessor under this Lease shall not constitute personal obligations of Lessor, or its partners, members, 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Time of Essence</w:t>
            </w:r>
            <w:r>
              <w:rPr>
                <w:rFonts w:ascii="Times New Roman;Times;serif" w:hAnsi="Times New Roman;Times;serif"/>
                <w:caps w:val="false"/>
                <w:smallCaps w:val="false"/>
                <w:sz w:val="20"/>
              </w:rPr>
              <w:t>. Time is of the essence with respect to the performance of all obligations to be performed or observed by the Parties under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Prior or Other Agreements; Broker Disclaimer</w:t>
            </w:r>
            <w:r>
              <w:rPr>
                <w:rFonts w:ascii="Times New Roman;Times;serif" w:hAnsi="Times New Roman;Times;serif"/>
                <w:caps w:val="false"/>
                <w:smallCaps w:val="false"/>
                <w:sz w:val="20"/>
              </w:rPr>
              <w:t>. This Lease contains all agreements between the Parties with respect to any matter 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75"/>
        <w:gridCol w:w="6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 Requirements</w:t>
            </w:r>
            <w:r>
              <w:rPr>
                <w:rFonts w:ascii="Times New Roman;Times;serif" w:hAnsi="Times New Roman;Times;serif"/>
                <w:caps w:val="false"/>
                <w:smallCaps w:val="false"/>
                <w:sz w:val="20"/>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Date of Notice</w:t>
            </w:r>
            <w:r>
              <w:rPr>
                <w:rFonts w:ascii="Times New Roman;Times;serif" w:hAnsi="Times New Roman;Times;serif"/>
                <w:caps w:val="false"/>
                <w:smallCaps w:val="false"/>
                <w:sz w:val="20"/>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Options</w:t>
            </w:r>
            <w:r>
              <w:rPr>
                <w:rFonts w:ascii="Times New Roman;Times;serif" w:hAnsi="Times New Roman;Times;serif"/>
                <w:caps w:val="false"/>
                <w:smallCaps w:val="false"/>
                <w:sz w:val="20"/>
              </w:rPr>
              <w:t>. Notwithstanding the foregoing, in order to exercise any Options (see paragraph 39), the Notice must be sent by Certified Mail (return receipt requested), Express Mail (signature required), courier (signature required) or some other methodology that provides a receipt establishing the date the notice was received by the Lessor.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Waivers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AGREE THAT THE TERMS OF THIS LEASE SHALL GOVERN WITH REGARD TO ALL MATTERS RELATED THERETO AND HEREBY WAIVE THE PROVISIONS OF ANY PRESENT OR FUTURE STATUTE TO THE EXTENT THAT SUCH STATUTE IS INCONSISTENT WITH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75"/>
        <w:gridCol w:w="791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79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Disclosures Regarding the Nature of a Real Estate Agency Relationship. </w:t>
            </w:r>
            <w:r>
              <w:rPr>
                <w:rFonts w:ascii="Times New Roman;Times;serif" w:hAnsi="Times New Roman;Times;serif"/>
                <w:caps w:val="false"/>
                <w:smallCaps w:val="false"/>
                <w:sz w:val="20"/>
              </w:rPr>
              <w:t>Omitted intentionally.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Right To Holdover</w:t>
            </w:r>
            <w:r>
              <w:rPr>
                <w:rFonts w:ascii="Times New Roman;Times;serif" w:hAnsi="Times New Roman;Times;serif"/>
                <w:caps w:val="false"/>
                <w:smallCaps w:val="false"/>
                <w:sz w:val="20"/>
              </w:rPr>
              <w:t>. Lessee has no right to retain possession of the Premises or any part thereof beyond the expiration or termination of this Lease. In the event that Lessee holds 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9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Cumulative Remedies</w:t>
            </w:r>
            <w:r>
              <w:rPr>
                <w:rFonts w:ascii="Times New Roman;Times;serif" w:hAnsi="Times New Roman;Times;serif"/>
                <w:caps w:val="false"/>
                <w:smallCaps w:val="false"/>
                <w:sz w:val="20"/>
              </w:rPr>
              <w:t>. No remedy or election hereunder shall be deemed exclusive but shall, wherever possible, be cumulative with all other remedies at law or in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Covenants and Conditions; Construction of Agreement</w:t>
            </w:r>
            <w:r>
              <w:rPr>
                <w:rFonts w:ascii="Times New Roman;Times;serif" w:hAnsi="Times New Roman;Times;serif"/>
                <w:caps w:val="false"/>
                <w:smallCaps w:val="false"/>
                <w:sz w:val="20"/>
              </w:rPr>
              <w:t>. All provisions of this Lease to be observed or performed by Lessee are both covenants 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Binding Effect; Choice of Law</w:t>
            </w:r>
            <w:r>
              <w:rPr>
                <w:rFonts w:ascii="Times New Roman;Times;serif" w:hAnsi="Times New Roman;Times;serif"/>
                <w:caps w:val="false"/>
                <w:smallCaps w:val="false"/>
                <w:sz w:val="20"/>
              </w:rPr>
              <w:t>. 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 Signatures to this Lease accomplished by means of electronic signature or similar technology shall be legal and binding.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3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Subordination; Attornment; Non-Disturbance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Subordination</w:t>
            </w:r>
            <w:r>
              <w:rPr>
                <w:rFonts w:ascii="Times New Roman;Times;serif" w:hAnsi="Times New Roman;Times;serif"/>
                <w:caps w:val="false"/>
                <w:smallCaps w:val="false"/>
                <w:sz w:val="20"/>
              </w:rPr>
              <w:t>. This Lease and any Option granted hereby shall be subject and subordinate to any ground lease, mortgage, deed of trust, or other hypothecation or security device (collectively, "</w:t>
            </w:r>
            <w:r>
              <w:rPr>
                <w:rFonts w:ascii="Times New Roman;Times;serif" w:hAnsi="Times New Roman;Times;serif"/>
                <w:b/>
                <w:caps w:val="false"/>
                <w:smallCaps w:val="false"/>
                <w:sz w:val="20"/>
              </w:rPr>
              <w:t>Security Device</w:t>
            </w:r>
            <w:r>
              <w:rPr>
                <w:rFonts w:ascii="Times New Roman;Times;serif" w:hAnsi="Times New Roman;Times;serif"/>
                <w:caps w:val="false"/>
                <w:smallCaps w:val="false"/>
                <w:sz w:val="20"/>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Times New Roman;Times;serif" w:hAnsi="Times New Roman;Times;serif"/>
                <w:b/>
                <w:caps w:val="false"/>
                <w:smallCaps w:val="false"/>
                <w:sz w:val="20"/>
              </w:rPr>
              <w:t>Lender</w:t>
            </w:r>
            <w:r>
              <w:rPr>
                <w:rFonts w:ascii="Times New Roman;Times;serif" w:hAnsi="Times New Roman;Times;serif"/>
                <w:caps w:val="false"/>
                <w:smallCaps w:val="false"/>
                <w:sz w:val="20"/>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Attornment</w:t>
            </w:r>
            <w:r>
              <w:rPr>
                <w:rFonts w:ascii="Times New Roman;Times;serif" w:hAnsi="Times New Roman;Times;serif"/>
                <w:caps w:val="false"/>
                <w:smallCaps w:val="false"/>
                <w:sz w:val="20"/>
              </w:rPr>
              <w:t>.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Non-Disturbance</w:t>
            </w:r>
            <w:r>
              <w:rPr>
                <w:rFonts w:ascii="Times New Roman;Times;serif" w:hAnsi="Times New Roman;Times;serif"/>
                <w:caps w:val="false"/>
                <w:smallCaps w:val="false"/>
                <w:sz w:val="20"/>
              </w:rPr>
              <w:t>. With respect to Security Devices entered into by Lessor after the execution of this Lease, Lessee's subordination of this Lease shall be subject to receiving a commercially reasonable non-disturbance agreement (a "</w:t>
            </w:r>
            <w:r>
              <w:rPr>
                <w:rFonts w:ascii="Times New Roman;Times;serif" w:hAnsi="Times New Roman;Times;serif"/>
                <w:b/>
                <w:caps w:val="false"/>
                <w:smallCaps w:val="false"/>
                <w:sz w:val="20"/>
              </w:rPr>
              <w:t>Non-Disturbance Agreement</w:t>
            </w:r>
            <w:r>
              <w:rPr>
                <w:rFonts w:ascii="Times New Roman;Times;serif" w:hAnsi="Times New Roman;Times;serif"/>
                <w:caps w:val="false"/>
                <w:smallCaps w:val="false"/>
                <w:sz w:val="20"/>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Self-Executing.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Attorneys' Fees</w:t>
            </w:r>
            <w:r>
              <w:rPr>
                <w:rFonts w:ascii="Times New Roman;Times;serif" w:hAnsi="Times New Roman;Times;serif"/>
                <w:caps w:val="false"/>
                <w:smallCaps w:val="false"/>
                <w:sz w:val="20"/>
              </w:rPr>
              <w:t>. If any Party or Broker brings an action or proceeding involving the Premises whether founded in tort, contract or 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Times New Roman;Times;serif" w:hAnsi="Times New Roman;Times;serif"/>
                <w:b/>
                <w:caps w:val="false"/>
                <w:smallCaps w:val="false"/>
                <w:sz w:val="20"/>
              </w:rPr>
              <w:t>Prevailing Party</w:t>
            </w:r>
            <w:r>
              <w:rPr>
                <w:rFonts w:ascii="Times New Roman;Times;serif" w:hAnsi="Times New Roman;Times;serif"/>
                <w:caps w:val="false"/>
                <w:smallCaps w:val="false"/>
                <w:sz w:val="20"/>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Lessor's Access; Showing Premises; Repairs</w:t>
            </w:r>
            <w:r>
              <w:rPr>
                <w:rFonts w:ascii="Times New Roman;Times;serif" w:hAnsi="Times New Roman;Times;serif"/>
                <w:caps w:val="false"/>
                <w:smallCaps w:val="false"/>
                <w:sz w:val="20"/>
              </w:rPr>
              <w:t>. Lessor and Lessor's agents shall have the right to enter the Premises at any time, in the case of an emergency, 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Auctions</w:t>
            </w:r>
            <w:r>
              <w:rPr>
                <w:rFonts w:ascii="Times New Roman;Times;serif" w:hAnsi="Times New Roman;Times;serif"/>
                <w:caps w:val="false"/>
                <w:smallCaps w:val="false"/>
                <w:sz w:val="20"/>
              </w:rPr>
              <w:t>. Lessee shall not conduct, nor permit to be conducted, any auction upon the Premises without Lessor's prior written consent. Lessor shall not be obligated to exercise any standard of reasonableness in determining whether to permit an auction.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99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Signs</w:t>
            </w:r>
            <w:r>
              <w:rPr>
                <w:rFonts w:ascii="Times New Roman;Times;serif" w:hAnsi="Times New Roman;Times;serif"/>
                <w:caps w:val="false"/>
                <w:smallCaps w:val="false"/>
                <w:sz w:val="20"/>
              </w:rPr>
              <w:t>. Lessor may place on the Premises ordinary "For Sale" signs at any time and ordinary "For Lease" signs during the last 6months of the term hereof. Except for ordinary "For Sublease" signs which may be placed only on the Premises, Lessee shall not place any sign upon the Project without Lessor's prior written consent. All signs must comply with all Applicable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Merger</w:t>
            </w:r>
            <w:r>
              <w:rPr>
                <w:rFonts w:ascii="Times New Roman;Times;serif" w:hAnsi="Times New Roman;Times;serif"/>
                <w:caps w:val="false"/>
                <w:smallCaps w:val="false"/>
                <w:sz w:val="20"/>
              </w:rPr>
              <w:t>. Unless specifically stated otherwise in writing by Lessor, the voluntary or other surrender of this Lease by Lessee, the 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Consents</w:t>
            </w:r>
            <w:r>
              <w:rPr>
                <w:rFonts w:ascii="Times New Roman;Times;serif" w:hAnsi="Times New Roman;Times;serif"/>
                <w:caps w:val="false"/>
                <w:smallCaps w:val="false"/>
                <w:sz w:val="20"/>
              </w:rPr>
              <w:t>. All requests for consent shall be in writing. Except as otherwise provided herein, wherever in this Lease the consent of a Party is 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c>
          <w:tcPr>
            <w:tcW w:w="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Guarantor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60"/>
        <w:gridCol w:w="380"/>
        <w:gridCol w:w="93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37.1</w:t>
            </w:r>
          </w:p>
        </w:tc>
        <w:tc>
          <w:tcPr>
            <w:tcW w:w="9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Execution</w:t>
            </w:r>
            <w:r>
              <w:rPr>
                <w:rFonts w:ascii="Times New Roman;Times;serif" w:hAnsi="Times New Roman;Times;serif"/>
                <w:caps w:val="false"/>
                <w:smallCaps w:val="false"/>
                <w:sz w:val="20"/>
              </w:rPr>
              <w:t>. The Guarantors, if any, shall each execute a guaranty in the form most recently published BY AIR CRE.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37.2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Default</w:t>
            </w:r>
            <w:r>
              <w:rPr>
                <w:rFonts w:ascii="Times New Roman;Times;serif" w:hAnsi="Times New Roman;Times;serif"/>
                <w:caps w:val="false"/>
                <w:smallCaps w:val="false"/>
                <w:sz w:val="20"/>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Quiet Possession</w:t>
            </w:r>
            <w:r>
              <w:rPr>
                <w:rFonts w:ascii="Times New Roman;Times;serif" w:hAnsi="Times New Roman;Times;serif"/>
                <w:caps w:val="false"/>
                <w:smallCaps w:val="false"/>
                <w:sz w:val="20"/>
              </w:rPr>
              <w:t>. Subject to payment by Lessee of the Rent and performance of all of the covenants, conditions and provisions on Lessee's part to be observed and performed under this Lease, Lessee shall have quiet possession and quiet enjoyment of the Premises during the term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275"/>
        <w:gridCol w:w="81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c>
          <w:tcPr>
            <w:tcW w:w="8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Options</w:t>
            </w:r>
            <w:r>
              <w:rPr>
                <w:rFonts w:ascii="Times New Roman;Times;serif" w:hAnsi="Times New Roman;Times;serif"/>
                <w:caps w:val="false"/>
                <w:smallCaps w:val="false"/>
                <w:sz w:val="20"/>
              </w:rPr>
              <w:t>. If Lessee is granted any option, as defined below, then the following provisions shall apply.</w:t>
            </w:r>
          </w:p>
        </w:tc>
      </w:tr>
    </w:tbl>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380"/>
        <w:gridCol w:w="26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39.1</w:t>
            </w:r>
          </w:p>
        </w:tc>
        <w:tc>
          <w:tcPr>
            <w:tcW w:w="2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Option</w:t>
            </w:r>
            <w:r>
              <w:rPr>
                <w:rFonts w:ascii="Times New Roman;Times;serif" w:hAnsi="Times New Roman;Times;serif"/>
                <w:caps w:val="false"/>
                <w:smallCaps w:val="false"/>
                <w:sz w:val="20"/>
              </w:rPr>
              <w:t>" shall mean: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extend or reduce the term of or renew this Lease or to extend or reduce the term of or renew any lease that Lessee has on other property of Lessor;</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245"/>
        <w:gridCol w:w="73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of first refusal or first offer to lease either the Premises or other property of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purchase, the right of first offer to purchase or the right of first refusal to purchase the Premises or other property of Lessor.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39.2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Options Personal To Original Lessee</w:t>
            </w:r>
            <w:r>
              <w:rPr>
                <w:rFonts w:ascii="Times New Roman;Times;serif" w:hAnsi="Times New Roman;Times;serif"/>
                <w:caps w:val="false"/>
                <w:smallCaps w:val="false"/>
                <w:sz w:val="20"/>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39.3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Multiple Options</w:t>
            </w:r>
            <w:r>
              <w:rPr>
                <w:rFonts w:ascii="Times New Roman;Times;serif" w:hAnsi="Times New Roman;Times;serif"/>
                <w:caps w:val="false"/>
                <w:smallCaps w:val="false"/>
                <w:sz w:val="20"/>
              </w:rPr>
              <w:t>. In the event that Lessee has any multiple Options to extend or renew this Lease, a later Option cannot be exercised unless the prior Options have been validly exercised.</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380"/>
        <w:gridCol w:w="23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39.4</w:t>
            </w:r>
          </w:p>
        </w:tc>
        <w:tc>
          <w:tcPr>
            <w:tcW w:w="2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Effect of Default on Options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period of time within which an Option may be exercised shall not be extended or enlarged by reason of Lessee's inability to exercise an Option because of the provisions of Paragraph 39.4(a).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c>
          <w:tcPr>
            <w:tcW w:w="99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Security Measures</w:t>
            </w:r>
            <w:r>
              <w:rPr>
                <w:rFonts w:ascii="Times New Roman;Times;serif" w:hAnsi="Times New Roman;Times;serif"/>
                <w:caps w:val="false"/>
                <w:smallCaps w:val="false"/>
                <w:sz w:val="20"/>
              </w:rPr>
              <w:t>. Lessee hereby acknowledges that the Rent payable to Lessor hereunder does not include the cost of guard service or other security measures, and that Lessor shall have no obligation whatsoever to provide same. Lessee assumes all responsibility for the protection of the Premises, Lessee, its agents and invitees and their property from the acts of third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Reservations</w:t>
            </w:r>
            <w:r>
              <w:rPr>
                <w:rFonts w:ascii="Times New Roman;Times;serif" w:hAnsi="Times New Roman;Times;serif"/>
                <w:caps w:val="false"/>
                <w:smallCaps w:val="false"/>
                <w:sz w:val="20"/>
              </w:rPr>
              <w:t>. Lessor reserves the right: (i) to grant, without the consent or joinder of Lessee, such easements, rights and dedications that Lessor deems necessary, (ii) to cause the 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Performance Under Protest</w:t>
            </w:r>
            <w:r>
              <w:rPr>
                <w:rFonts w:ascii="Times New Roman;Times;serif" w:hAnsi="Times New Roman;Times;serif"/>
                <w:caps w:val="false"/>
                <w:smallCaps w:val="false"/>
                <w:sz w:val="20"/>
              </w:rPr>
              <w:t>. 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6months shall be deemed to have waived its right to protest such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75"/>
        <w:gridCol w:w="33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3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Authority; Multiple Parties; Execution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Lease may be executed by the Parties in counterparts, each of which shall be deemed an original and all of which together shall constitute one and the same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9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Conflict</w:t>
            </w:r>
            <w:r>
              <w:rPr>
                <w:rFonts w:ascii="Times New Roman;Times;serif" w:hAnsi="Times New Roman;Times;serif"/>
                <w:caps w:val="false"/>
                <w:smallCaps w:val="false"/>
                <w:sz w:val="20"/>
              </w:rPr>
              <w:t>. Any conflict between the printed provisions of this Lease and the typewritten or handwritten provisions shall be controlled by the typewritten or handwritten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Offer</w:t>
            </w:r>
            <w:r>
              <w:rPr>
                <w:rFonts w:ascii="Times New Roman;Times;serif" w:hAnsi="Times New Roman;Times;serif"/>
                <w:caps w:val="false"/>
                <w:smallCaps w:val="false"/>
                <w:sz w:val="20"/>
              </w:rPr>
              <w:t>. Preparation of this Lease by either party or their agent and submission of same to the other Party shall not be deemed an offer to lease to the other Party. This Lease is not intended to be binding until executed and delivered by all Parties hereto.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99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Amendments</w:t>
            </w:r>
            <w:r>
              <w:rPr>
                <w:rFonts w:ascii="Times New Roman;Times;serif" w:hAnsi="Times New Roman;Times;serif"/>
                <w:caps w:val="false"/>
                <w:smallCaps w:val="false"/>
                <w:sz w:val="20"/>
              </w:rPr>
              <w:t>. This Lease may be modified only in writing, signed by the Parties in interest at the time of the modification. As long as they do not materially change Lessee's obligations hereunder, Lessee agrees to make such reasonable nonmonetary modifications to this Lease as may be reasonably required by a Lender in connection with the obtaining of normal financing or refinancing of the Premises.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Waiver of Jury Trial</w:t>
            </w:r>
            <w:r>
              <w:rPr>
                <w:rFonts w:ascii="Times New Roman;Times;serif" w:hAnsi="Times New Roman;Times;serif"/>
                <w:caps w:val="false"/>
                <w:smallCaps w:val="false"/>
                <w:sz w:val="20"/>
              </w:rPr>
              <w:t>. THE PARTIES HEREBY WAIVE THEIR RESPECTIVE RIGHTS TO TRIAL BY JURY IN ANY ACTION OR PROCEEDING INVOLVING THE PROPERTY OR ARISING OUT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99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Arbitration of Disputes</w:t>
            </w:r>
            <w:r>
              <w:rPr>
                <w:rFonts w:ascii="Times New Roman;Times;serif" w:hAnsi="Times New Roman;Times;serif"/>
                <w:caps w:val="false"/>
                <w:smallCaps w:val="false"/>
                <w:sz w:val="20"/>
              </w:rPr>
              <w:t>. An Addendum requiring the Arbitration of all disputes between the Parties and/or Brokers arising out of this Lease is is not attached to this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75"/>
        <w:gridCol w:w="387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3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Accessibility; Americans with Disabilities Act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49.1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Premises have not undergone an inspection by a Certified Access Specialist (CASp). Note: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49.2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Since compliance with the Americans with Disabilities Act (ADA) and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occupy approximately 40,090 rentable square feet of the larger 40,934 square foot industrial building per the attached Exhibit "A" Floor Plan. Lessees space shall include shared access to the reception area, back exit area, second floor server room, second floor bathrooms, second floor walkways, second floor kitchen, and utility room in the back of the warehouse. Lessee shall have exclusive use to the remainder of the first and second floor offices. Lessor shall remain in possession of the second floor Boardroom and first executive office, with shared access to the first floor reception area, main stairway, second floor server room, second floor bathrooms, second floor walkways, second floor kitchen, and utility room at the back of the warehouse.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9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and Lessor shall split any shared utilities on a pro-rata bases. Lessee shall be responsible for 97.94% of any shared utilities.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9952"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be allowed to use the existing 1st and 2nd floor furniture at no cost during the initial Lease Term and any extensions. Lessee shall be responsible for maintaining the furniture with normal wear and tear accepted.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Lessee shall be allowed to install building top signage on the Lake Forest Drive side of the building an monument signage on the Valencia side of the building. All costs associated with the design, installation, maintenance and eventual removal of said signage shall be borne by Lessee. All signage must adhere to the signage criteria of the Project and City of Lake Forest and shall be approved by Lessor prior to installation. Lessor shall be allowed to keep their building top sign up on the Valencia Circle side of the building.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99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Lessor takes out a loan on the property, Lessor will use reasonable efforts to acquire an SNDA from its lender for Lessees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75"/>
        <w:gridCol w:w="149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14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Rent Adjustments</w:t>
            </w:r>
          </w:p>
        </w:tc>
      </w:tr>
    </w:tbl>
    <w:p>
      <w:pPr>
        <w:pStyle w:val="TextBody"/>
        <w:bidi w:val="0"/>
        <w:spacing w:before="0" w:after="0"/>
        <w:ind w:left="0" w:right="0" w:hanging="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
        <w:gridCol w:w="380"/>
        <w:gridCol w:w="93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55.1</w:t>
            </w:r>
          </w:p>
        </w:tc>
        <w:tc>
          <w:tcPr>
            <w:tcW w:w="9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Fixed Rental Adjustments.</w:t>
            </w:r>
            <w:r>
              <w:rPr>
                <w:rFonts w:ascii="Times New Roman;Times;serif" w:hAnsi="Times New Roman;Times;serif"/>
                <w:caps w:val="false"/>
                <w:smallCaps w:val="false"/>
                <w:sz w:val="20"/>
              </w:rPr>
              <w:t> The Base Rent shall be increased to the following amounts on the dates set forth below:</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325"/>
        <w:gridCol w:w="60"/>
        <w:gridCol w:w="2345"/>
        <w:gridCol w:w="75"/>
      </w:tblGrid>
      <w:tr>
        <w:trPr/>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New Base Rent shall be:</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Months 1 - 12</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$51,716.00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Months 13 – 24</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$53,267.48</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Months 25 – 36</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$54,865.50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Months 37 – 48</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$56,511.47</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Months 49 – 60</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$58,206.81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LESSOR AND LESSEE HAVE CAREFULLY READ AND REVIEWED THIS LEASE AND EACH TERMAND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NO REPRESENTATION OR RECOMMENDATION IS MADE BY AIR CRE OR BY ANY BROKER AS TO THE LEGAL SUFFICIENCY, LEGAL EFFECT, OR TAX CONSEQUENCES OF THIS LEASE OR THE TRANSACTION TOWHICH IT RELATES. THE PARTIES ARE URGED TO:</w:t>
      </w:r>
    </w:p>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ADVICE OF COUNSEL AS TO THE LEGAL AND TAX CONSEQUENCES OF THIS LEASE.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hereto have executed this Lease at the place and on the dates specified above their respective signatures.</w:t>
      </w:r>
    </w:p>
    <w:p>
      <w:pPr>
        <w:pStyle w:val="TextBody"/>
        <w:bidi w:val="0"/>
        <w:spacing w:before="0" w:after="0"/>
        <w:ind w:left="0" w:right="0" w:hanging="0"/>
        <w:jc w:val="both"/>
        <w:rPr>
          <w:caps w:val="false"/>
          <w:smallCaps w:val="false"/>
        </w:rPr>
      </w:pPr>
      <w:r>
        <w:rPr>
          <w:caps w:val="false"/>
          <w:smallCaps w:val="false"/>
        </w:rPr>
        <w:t> </w:t>
      </w:r>
    </w:p>
    <w:tbl>
      <w:tblPr>
        <w:tblW w:w="8864" w:type="dxa"/>
        <w:jc w:val="left"/>
        <w:tblInd w:w="0" w:type="dxa"/>
        <w:tblLayout w:type="fixed"/>
        <w:tblCellMar>
          <w:top w:w="0" w:type="dxa"/>
          <w:left w:w="0" w:type="dxa"/>
          <w:bottom w:w="0" w:type="dxa"/>
          <w:right w:w="0" w:type="dxa"/>
        </w:tblCellMar>
      </w:tblPr>
      <w:tblGrid>
        <w:gridCol w:w="1217"/>
        <w:gridCol w:w="3152"/>
        <w:gridCol w:w="60"/>
        <w:gridCol w:w="1190"/>
        <w:gridCol w:w="3245"/>
      </w:tblGrid>
      <w:tr>
        <w:trPr/>
        <w:tc>
          <w:tcPr>
            <w:tcW w:w="1217" w:type="dxa"/>
            <w:tcBorders/>
            <w:vAlign w:val="center"/>
          </w:tcPr>
          <w:p>
            <w:pPr>
              <w:pStyle w:val="TableContents"/>
              <w:bidi w:val="0"/>
              <w:spacing w:before="0" w:after="283"/>
              <w:jc w:val="left"/>
              <w:rPr/>
            </w:pPr>
            <w:r>
              <w:rPr/>
              <w:t>Executed at:</w:t>
            </w:r>
          </w:p>
        </w:tc>
        <w:tc>
          <w:tcPr>
            <w:tcW w:w="3152" w:type="dxa"/>
            <w:tcBorders>
              <w:bottom w:val="single" w:sz="2" w:space="0" w:color="000000"/>
            </w:tcBorders>
            <w:tcMar>
              <w:bottom w:w="28" w:type="dxa"/>
            </w:tcMar>
            <w:vAlign w:val="center"/>
          </w:tcPr>
          <w:p>
            <w:pPr>
              <w:pStyle w:val="TableContents"/>
              <w:bidi w:val="0"/>
              <w:spacing w:before="0" w:after="283"/>
              <w:jc w:val="left"/>
              <w:rPr/>
            </w:pPr>
            <w:r>
              <w:rPr/>
              <w:t>Lake Forest, CA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Executed at:</w:t>
            </w:r>
          </w:p>
        </w:tc>
        <w:tc>
          <w:tcPr>
            <w:tcW w:w="3245" w:type="dxa"/>
            <w:tcBorders>
              <w:bottom w:val="single" w:sz="2" w:space="0" w:color="000000"/>
            </w:tcBorders>
            <w:tcMar>
              <w:bottom w:w="28" w:type="dxa"/>
            </w:tcMar>
            <w:vAlign w:val="center"/>
          </w:tcPr>
          <w:p>
            <w:pPr>
              <w:pStyle w:val="TableContents"/>
              <w:bidi w:val="0"/>
              <w:spacing w:before="0" w:after="283"/>
              <w:jc w:val="left"/>
              <w:rPr/>
            </w:pPr>
            <w:r>
              <w:rPr/>
              <w:t>Lake Forest, CA</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On:</w:t>
            </w:r>
          </w:p>
        </w:tc>
        <w:tc>
          <w:tcPr>
            <w:tcW w:w="3152" w:type="dxa"/>
            <w:tcBorders>
              <w:bottom w:val="single" w:sz="2" w:space="0" w:color="000000"/>
            </w:tcBorders>
            <w:tcMar>
              <w:bottom w:w="28" w:type="dxa"/>
            </w:tcMar>
            <w:vAlign w:val="center"/>
          </w:tcPr>
          <w:p>
            <w:pPr>
              <w:pStyle w:val="TableContents"/>
              <w:bidi w:val="0"/>
              <w:spacing w:before="0" w:after="283"/>
              <w:jc w:val="left"/>
              <w:rPr/>
            </w:pPr>
            <w:r>
              <w:rPr/>
              <w:t>April 7, 2025</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On:</w:t>
            </w:r>
          </w:p>
        </w:tc>
        <w:tc>
          <w:tcPr>
            <w:tcW w:w="3245" w:type="dxa"/>
            <w:tcBorders>
              <w:bottom w:val="single" w:sz="2" w:space="0" w:color="000000"/>
            </w:tcBorders>
            <w:tcMar>
              <w:bottom w:w="28" w:type="dxa"/>
            </w:tcMar>
            <w:vAlign w:val="center"/>
          </w:tcPr>
          <w:p>
            <w:pPr>
              <w:pStyle w:val="TableContents"/>
              <w:bidi w:val="0"/>
              <w:spacing w:before="0" w:after="283"/>
              <w:jc w:val="left"/>
              <w:rPr/>
            </w:pPr>
            <w:r>
              <w:rPr/>
              <w:t>April 9, 2025</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4369" w:type="dxa"/>
            <w:gridSpan w:val="2"/>
            <w:tcBorders/>
            <w:vAlign w:val="center"/>
          </w:tcPr>
          <w:p>
            <w:pPr>
              <w:pStyle w:val="TableContents"/>
              <w:bidi w:val="0"/>
              <w:spacing w:before="0" w:after="283"/>
              <w:jc w:val="left"/>
              <w:rPr/>
            </w:pPr>
            <w:r>
              <w:rPr/>
              <w:t xml:space="preserve">By Lessor: </w:t>
            </w:r>
            <w:r>
              <w:rPr>
                <w:b/>
              </w:rPr>
              <w:t>20321 Valencia, LLC</w:t>
            </w:r>
            <w:r>
              <w:rPr/>
              <w:t>                  </w:t>
            </w:r>
          </w:p>
        </w:tc>
        <w:tc>
          <w:tcPr>
            <w:tcW w:w="60" w:type="dxa"/>
            <w:tcBorders/>
            <w:vAlign w:val="center"/>
          </w:tcPr>
          <w:p>
            <w:pPr>
              <w:pStyle w:val="TableContents"/>
              <w:bidi w:val="0"/>
              <w:spacing w:before="0" w:after="283"/>
              <w:jc w:val="left"/>
              <w:rPr/>
            </w:pPr>
            <w:r>
              <w:rPr/>
              <w:t> </w:t>
            </w:r>
          </w:p>
        </w:tc>
        <w:tc>
          <w:tcPr>
            <w:tcW w:w="4435" w:type="dxa"/>
            <w:gridSpan w:val="2"/>
            <w:tcBorders/>
            <w:vAlign w:val="center"/>
          </w:tcPr>
          <w:p>
            <w:pPr>
              <w:pStyle w:val="TableContents"/>
              <w:bidi w:val="0"/>
              <w:spacing w:before="0" w:after="283"/>
              <w:jc w:val="left"/>
              <w:rPr/>
            </w:pPr>
            <w:r>
              <w:rPr/>
              <w:t>By Lessee: </w:t>
            </w:r>
            <w:r>
              <w:rPr>
                <w:b/>
              </w:rPr>
              <w:t>MatterHackers, Inc.</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By:</w:t>
            </w:r>
          </w:p>
        </w:tc>
        <w:tc>
          <w:tcPr>
            <w:tcW w:w="3152" w:type="dxa"/>
            <w:tcBorders>
              <w:bottom w:val="single" w:sz="2" w:space="0" w:color="000000"/>
            </w:tcBorders>
            <w:tcMar>
              <w:bottom w:w="28" w:type="dxa"/>
            </w:tcMar>
            <w:vAlign w:val="center"/>
          </w:tcPr>
          <w:p>
            <w:pPr>
              <w:pStyle w:val="TableContents"/>
              <w:bidi w:val="0"/>
              <w:spacing w:before="0" w:after="283"/>
              <w:jc w:val="left"/>
              <w:rPr/>
            </w:pPr>
            <w:r>
              <w:rPr/>
              <w:t>/s/ ISAAC BRESNICK</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By:</w:t>
            </w:r>
          </w:p>
        </w:tc>
        <w:tc>
          <w:tcPr>
            <w:tcW w:w="3245" w:type="dxa"/>
            <w:tcBorders>
              <w:bottom w:val="single" w:sz="2" w:space="0" w:color="000000"/>
            </w:tcBorders>
            <w:tcMar>
              <w:bottom w:w="28" w:type="dxa"/>
            </w:tcMar>
            <w:vAlign w:val="center"/>
          </w:tcPr>
          <w:p>
            <w:pPr>
              <w:pStyle w:val="TableContents"/>
              <w:bidi w:val="0"/>
              <w:spacing w:before="0" w:after="283"/>
              <w:jc w:val="left"/>
              <w:rPr/>
            </w:pPr>
            <w:r>
              <w:rPr/>
              <w:t>/s/ LARS BRUBAKER</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Name:</w:t>
            </w:r>
          </w:p>
        </w:tc>
        <w:tc>
          <w:tcPr>
            <w:tcW w:w="3152" w:type="dxa"/>
            <w:tcBorders>
              <w:bottom w:val="single" w:sz="2" w:space="0" w:color="000000"/>
            </w:tcBorders>
            <w:tcMar>
              <w:bottom w:w="28" w:type="dxa"/>
            </w:tcMar>
            <w:vAlign w:val="center"/>
          </w:tcPr>
          <w:p>
            <w:pPr>
              <w:pStyle w:val="TableContents"/>
              <w:bidi w:val="0"/>
              <w:spacing w:before="0" w:after="283"/>
              <w:jc w:val="left"/>
              <w:rPr/>
            </w:pPr>
            <w:r>
              <w:rPr/>
              <w:t>Isaac Bresnick</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Name:</w:t>
            </w:r>
          </w:p>
        </w:tc>
        <w:tc>
          <w:tcPr>
            <w:tcW w:w="3245" w:type="dxa"/>
            <w:tcBorders>
              <w:bottom w:val="single" w:sz="2" w:space="0" w:color="000000"/>
            </w:tcBorders>
            <w:tcMar>
              <w:bottom w:w="28" w:type="dxa"/>
            </w:tcMar>
            <w:vAlign w:val="center"/>
          </w:tcPr>
          <w:p>
            <w:pPr>
              <w:pStyle w:val="TableContents"/>
              <w:bidi w:val="0"/>
              <w:spacing w:before="0" w:after="283"/>
              <w:jc w:val="left"/>
              <w:rPr/>
            </w:pPr>
            <w:r>
              <w:rPr/>
              <w:t>Lars Brubaker</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Title:</w:t>
            </w:r>
          </w:p>
        </w:tc>
        <w:tc>
          <w:tcPr>
            <w:tcW w:w="3152" w:type="dxa"/>
            <w:tcBorders>
              <w:bottom w:val="single" w:sz="2" w:space="0" w:color="000000"/>
            </w:tcBorders>
            <w:tcMar>
              <w:bottom w:w="28" w:type="dxa"/>
            </w:tcMar>
            <w:vAlign w:val="center"/>
          </w:tcPr>
          <w:p>
            <w:pPr>
              <w:pStyle w:val="TableContents"/>
              <w:bidi w:val="0"/>
              <w:spacing w:before="0" w:after="283"/>
              <w:jc w:val="left"/>
              <w:rPr/>
            </w:pPr>
            <w:r>
              <w:rPr/>
              <w:t>Officer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Title:</w:t>
            </w:r>
          </w:p>
        </w:tc>
        <w:tc>
          <w:tcPr>
            <w:tcW w:w="3245" w:type="dxa"/>
            <w:tcBorders>
              <w:bottom w:val="single" w:sz="2" w:space="0" w:color="000000"/>
            </w:tcBorders>
            <w:tcMar>
              <w:bottom w:w="28" w:type="dxa"/>
            </w:tcMar>
            <w:vAlign w:val="center"/>
          </w:tcPr>
          <w:p>
            <w:pPr>
              <w:pStyle w:val="TableContents"/>
              <w:bidi w:val="0"/>
              <w:spacing w:before="0" w:after="283"/>
              <w:jc w:val="left"/>
              <w:rPr/>
            </w:pPr>
            <w:r>
              <w:rPr/>
              <w:t>CEO</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Phone:</w:t>
            </w:r>
          </w:p>
        </w:tc>
        <w:tc>
          <w:tcPr>
            <w:tcW w:w="3152" w:type="dxa"/>
            <w:tcBorders>
              <w:bottom w:val="single" w:sz="2" w:space="0" w:color="000000"/>
            </w:tcBorders>
            <w:tcMar>
              <w:bottom w:w="28" w:type="dxa"/>
            </w:tcMar>
            <w:vAlign w:val="center"/>
          </w:tcPr>
          <w:p>
            <w:pPr>
              <w:pStyle w:val="TableContents"/>
              <w:bidi w:val="0"/>
              <w:spacing w:before="0" w:after="283"/>
              <w:jc w:val="left"/>
              <w:rPr/>
            </w:pPr>
            <w:r>
              <w:rPr/>
              <w:t>(949) 635-2123</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Phone:</w:t>
            </w:r>
          </w:p>
        </w:tc>
        <w:tc>
          <w:tcPr>
            <w:tcW w:w="3245" w:type="dxa"/>
            <w:tcBorders>
              <w:bottom w:val="single" w:sz="2" w:space="0" w:color="000000"/>
            </w:tcBorders>
            <w:tcMar>
              <w:bottom w:w="28" w:type="dxa"/>
            </w:tcMar>
            <w:vAlign w:val="center"/>
          </w:tcPr>
          <w:p>
            <w:pPr>
              <w:pStyle w:val="TableContents"/>
              <w:bidi w:val="0"/>
              <w:spacing w:before="0" w:after="283"/>
              <w:jc w:val="left"/>
              <w:rPr/>
            </w:pPr>
            <w:r>
              <w:rPr/>
              <w:t>949 233-9846</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Fax:</w:t>
            </w:r>
          </w:p>
        </w:tc>
        <w:tc>
          <w:tcPr>
            <w:tcW w:w="3152" w:type="dxa"/>
            <w:tcBorders>
              <w:bottom w:val="single" w:sz="2" w:space="0" w:color="000000"/>
            </w:tcBorders>
            <w:tcMar>
              <w:bottom w:w="28" w:type="dxa"/>
            </w:tcMar>
            <w:vAlign w:val="center"/>
          </w:tcPr>
          <w:p>
            <w:pPr>
              <w:pStyle w:val="TableContents"/>
              <w:bidi w:val="0"/>
              <w:spacing w:before="0" w:after="283"/>
              <w:jc w:val="left"/>
              <w:rPr/>
            </w:pPr>
            <w:r>
              <w:rPr/>
              <w:t>(949) 635-2188</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Fax:</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Email:</w:t>
            </w:r>
          </w:p>
        </w:tc>
        <w:tc>
          <w:tcPr>
            <w:tcW w:w="3152" w:type="dxa"/>
            <w:tcBorders>
              <w:bottom w:val="single" w:sz="2" w:space="0" w:color="000000"/>
            </w:tcBorders>
            <w:tcMar>
              <w:bottom w:w="28" w:type="dxa"/>
            </w:tcMar>
            <w:vAlign w:val="center"/>
          </w:tcPr>
          <w:p>
            <w:pPr>
              <w:pStyle w:val="TableContents"/>
              <w:bidi w:val="0"/>
              <w:spacing w:before="0" w:after="283"/>
              <w:jc w:val="left"/>
              <w:rPr/>
            </w:pPr>
            <w:r>
              <w:rPr/>
              <w:t>isaac.bresnick@liquidmetal.com</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Email:</w:t>
            </w:r>
          </w:p>
        </w:tc>
        <w:tc>
          <w:tcPr>
            <w:tcW w:w="3245" w:type="dxa"/>
            <w:tcBorders>
              <w:bottom w:val="single" w:sz="2" w:space="0" w:color="000000"/>
            </w:tcBorders>
            <w:tcMar>
              <w:bottom w:w="28" w:type="dxa"/>
            </w:tcMar>
            <w:vAlign w:val="center"/>
          </w:tcPr>
          <w:p>
            <w:pPr>
              <w:pStyle w:val="TableContents"/>
              <w:bidi w:val="0"/>
              <w:spacing w:before="0" w:after="283"/>
              <w:jc w:val="left"/>
              <w:rPr/>
            </w:pPr>
            <w:r>
              <w:rPr/>
              <w:t>lars.brubaker@matterhackers.com</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Address:</w:t>
            </w:r>
          </w:p>
        </w:tc>
        <w:tc>
          <w:tcPr>
            <w:tcW w:w="3152" w:type="dxa"/>
            <w:tcBorders>
              <w:bottom w:val="single" w:sz="2" w:space="0" w:color="000000"/>
            </w:tcBorders>
            <w:tcMar>
              <w:bottom w:w="28" w:type="dxa"/>
            </w:tcMar>
            <w:vAlign w:val="center"/>
          </w:tcPr>
          <w:p>
            <w:pPr>
              <w:pStyle w:val="TableContents"/>
              <w:bidi w:val="0"/>
              <w:spacing w:before="0" w:after="283"/>
              <w:jc w:val="left"/>
              <w:rPr/>
            </w:pPr>
            <w:r>
              <w:rPr/>
              <w:t>20321 Valencia Circle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Address:</w:t>
            </w:r>
          </w:p>
        </w:tc>
        <w:tc>
          <w:tcPr>
            <w:tcW w:w="3245" w:type="dxa"/>
            <w:tcBorders>
              <w:bottom w:val="single" w:sz="2" w:space="0" w:color="000000"/>
            </w:tcBorders>
            <w:tcMar>
              <w:bottom w:w="28" w:type="dxa"/>
            </w:tcMar>
            <w:vAlign w:val="center"/>
          </w:tcPr>
          <w:p>
            <w:pPr>
              <w:pStyle w:val="TableContents"/>
              <w:bidi w:val="0"/>
              <w:spacing w:before="0" w:after="283"/>
              <w:jc w:val="left"/>
              <w:rPr/>
            </w:pPr>
            <w:r>
              <w:rPr/>
              <w:t>20321 Valencia Circle</w:t>
            </w:r>
          </w:p>
        </w:tc>
      </w:tr>
      <w:tr>
        <w:trPr/>
        <w:tc>
          <w:tcPr>
            <w:tcW w:w="121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4369" w:type="dxa"/>
            <w:gridSpan w:val="2"/>
            <w:tcBorders>
              <w:bottom w:val="single" w:sz="2" w:space="0" w:color="000000"/>
            </w:tcBorders>
            <w:tcMar>
              <w:bottom w:w="28" w:type="dxa"/>
            </w:tcMar>
            <w:vAlign w:val="center"/>
          </w:tcPr>
          <w:p>
            <w:pPr>
              <w:pStyle w:val="TableContents"/>
              <w:bidi w:val="0"/>
              <w:spacing w:before="0" w:after="283"/>
              <w:jc w:val="left"/>
              <w:rPr/>
            </w:pPr>
            <w:r>
              <w:rPr/>
              <w:t>Lake Forest, CA 92630                  </w:t>
            </w:r>
          </w:p>
        </w:tc>
        <w:tc>
          <w:tcPr>
            <w:tcW w:w="60" w:type="dxa"/>
            <w:tcBorders/>
            <w:vAlign w:val="center"/>
          </w:tcPr>
          <w:p>
            <w:pPr>
              <w:pStyle w:val="TableContents"/>
              <w:bidi w:val="0"/>
              <w:spacing w:before="0" w:after="283"/>
              <w:jc w:val="left"/>
              <w:rPr/>
            </w:pPr>
            <w:r>
              <w:rPr/>
              <w:t> </w:t>
            </w:r>
          </w:p>
        </w:tc>
        <w:tc>
          <w:tcPr>
            <w:tcW w:w="4435" w:type="dxa"/>
            <w:gridSpan w:val="2"/>
            <w:tcBorders>
              <w:bottom w:val="single" w:sz="2" w:space="0" w:color="000000"/>
            </w:tcBorders>
            <w:tcMar>
              <w:bottom w:w="28" w:type="dxa"/>
            </w:tcMar>
            <w:vAlign w:val="center"/>
          </w:tcPr>
          <w:p>
            <w:pPr>
              <w:pStyle w:val="TableContents"/>
              <w:bidi w:val="0"/>
              <w:spacing w:before="0" w:after="283"/>
              <w:jc w:val="left"/>
              <w:rPr/>
            </w:pPr>
            <w:r>
              <w:rPr/>
              <w:t>Lake Forest, CA 92630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 Floor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6334125" cy="830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34125" cy="8305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sz w:val="24"/>
        </w:rPr>
      </w:pPr>
      <w:r>
        <w:rPr>
          <w:sz w:val="24"/>
        </w:rPr>
        <w:t>INDUSTRIAL/COMMERCIAL MULTI-TENANT LEASE</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“B” NNN Expenses</w:t>
      </w:r>
    </w:p>
    <w:p>
      <w:pPr>
        <w:pStyle w:val="TextBody"/>
        <w:bidi w:val="0"/>
        <w:spacing w:before="0" w:after="0"/>
        <w:ind w:left="0" w:right="0" w:hanging="0"/>
        <w:jc w:val="center"/>
        <w:rPr>
          <w:caps w:val="false"/>
          <w:smallCaps w:val="false"/>
        </w:rPr>
      </w:pPr>
      <w:r>
        <w:rPr>
          <w:caps w:val="false"/>
          <w:smallCaps w:val="false"/>
        </w:rPr>
        <w:t> </w:t>
      </w:r>
    </w:p>
    <w:tbl>
      <w:tblPr>
        <w:tblW w:w="5430" w:type="dxa"/>
        <w:jc w:val="left"/>
        <w:tblInd w:w="0" w:type="dxa"/>
        <w:tblLayout w:type="fixed"/>
        <w:tblCellMar>
          <w:top w:w="28" w:type="dxa"/>
          <w:left w:w="28" w:type="dxa"/>
          <w:bottom w:w="28" w:type="dxa"/>
          <w:right w:w="0" w:type="dxa"/>
        </w:tblCellMar>
      </w:tblPr>
      <w:tblGrid>
        <w:gridCol w:w="3080"/>
        <w:gridCol w:w="1055"/>
        <w:gridCol w:w="60"/>
        <w:gridCol w:w="1160"/>
        <w:gridCol w:w="75"/>
      </w:tblGrid>
      <w:tr>
        <w:trPr/>
        <w:tc>
          <w:tcPr>
            <w:tcW w:w="5355" w:type="dxa"/>
            <w:gridSpan w:val="4"/>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Valencia Building Expenses</w:t>
            </w:r>
          </w:p>
        </w:tc>
        <w:tc>
          <w:tcPr>
            <w:tcW w:w="7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Vendor</w:t>
            </w:r>
          </w:p>
        </w:tc>
        <w:tc>
          <w:tcPr>
            <w:tcW w:w="105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Annual Cost</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Monthly Cost</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American Alarm Monitor</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$420.00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Anderson Air Conditioning</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$3,636.00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$303.00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Baker Ranch</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$10,356.00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$863.00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Coastal Locksmith Door Hosting</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$3,168.00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$264.00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County of Orange (Secured Prop Tax)</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$93,072.00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$7,756.00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Pacific Backflow Water Testing</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$276.00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$23.00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Nature Care Landscaping</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$4,656.00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$388.00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Boyd Associates Security System</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$672.00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$56.00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Hazard Insurance</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$9,420.00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$785.00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Fire Protection Testing Cert</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$1,200.00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$126,876.00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$10,573.00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per SF</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283"/>
              <w:jc w:val="both"/>
              <w:rPr/>
            </w:pPr>
            <w:r>
              <w:rPr/>
              <w:t> </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both"/>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283"/>
              <w:jc w:val="both"/>
              <w:rPr/>
            </w:pPr>
            <w:r>
              <w:rPr/>
              <w:t> </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both"/>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per Month</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283"/>
              <w:jc w:val="both"/>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both"/>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$10,573.00</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97.94% of Cost per Month</w:t>
            </w:r>
          </w:p>
        </w:tc>
        <w:tc>
          <w:tcPr>
            <w:tcW w:w="1055" w:type="dxa"/>
            <w:tcBorders>
              <w:bottom w:val="single" w:sz="2" w:space="0" w:color="000000"/>
            </w:tcBorders>
            <w:shd w:fill="FFFFFF" w:val="clear"/>
            <w:tcMar>
              <w:top w:w="0" w:type="dxa"/>
              <w:left w:w="0" w:type="dxa"/>
            </w:tcMar>
            <w:vAlign w:val="center"/>
          </w:tcPr>
          <w:p>
            <w:pPr>
              <w:pStyle w:val="TableContents"/>
              <w:bidi w:val="0"/>
              <w:spacing w:before="0" w:after="283"/>
              <w:jc w:val="both"/>
              <w:rPr/>
            </w:pPr>
            <w:r>
              <w:rPr/>
              <w:t> </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both"/>
              <w:rPr/>
            </w:pPr>
            <w:r>
              <w:rPr/>
              <w:t> </w:t>
            </w:r>
          </w:p>
        </w:tc>
        <w:tc>
          <w:tcPr>
            <w:tcW w:w="1160" w:type="dxa"/>
            <w:tcBorders>
              <w:bottom w:val="single" w:sz="2" w:space="0" w:color="000000"/>
            </w:tcBorders>
            <w:shd w:fill="FFFF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$10,355.20</w:t>
            </w:r>
          </w:p>
        </w:tc>
        <w:tc>
          <w:tcPr>
            <w:tcW w:w="7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08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Price per Square Foot</w:t>
            </w:r>
          </w:p>
        </w:tc>
        <w:tc>
          <w:tcPr>
            <w:tcW w:w="1055" w:type="dxa"/>
            <w:tcBorders>
              <w:bottom w:val="single" w:sz="2" w:space="0" w:color="000000"/>
            </w:tcBorders>
            <w:shd w:fill="CCEEFF" w:val="clear"/>
            <w:tcMar>
              <w:top w:w="0" w:type="dxa"/>
              <w:left w:w="0" w:type="dxa"/>
            </w:tcMar>
            <w:vAlign w:val="center"/>
          </w:tcPr>
          <w:p>
            <w:pPr>
              <w:pStyle w:val="TableContents"/>
              <w:bidi w:val="0"/>
              <w:spacing w:before="0" w:after="283"/>
              <w:jc w:val="both"/>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both"/>
              <w:rPr/>
            </w:pPr>
            <w:r>
              <w:rPr/>
              <w:t> </w:t>
            </w:r>
          </w:p>
        </w:tc>
        <w:tc>
          <w:tcPr>
            <w:tcW w:w="1160" w:type="dxa"/>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$0.26</w:t>
            </w:r>
          </w:p>
        </w:tc>
        <w:tc>
          <w:tcPr>
            <w:tcW w:w="7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w:t>
      </w:r>
    </w:p>
    <w:p>
      <w:pPr>
        <w:pStyle w:val="TextBody"/>
        <w:bidi w:val="0"/>
        <w:spacing w:before="0" w:after="0"/>
        <w:ind w:left="0" w:right="0" w:hanging="0"/>
        <w:jc w:val="left"/>
        <w:rPr>
          <w:rFonts w:ascii="Times New Roman" w:hAnsi="Times New Roman"/>
          <w:b/>
          <w:caps w:val="false"/>
          <w:smallCaps w:val="false"/>
          <w:sz w:val="20"/>
        </w:rPr>
      </w:pPr>
      <w:bookmarkStart w:id="23" w:name="ex_809388.htm"/>
      <w:bookmarkStart w:id="24" w:name="ksex_809388"/>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640"/>
        <w:gridCol w:w="2915"/>
        <w:gridCol w:w="60"/>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13, 2025</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5" w:name="ex_809389.htm"/>
      <w:bookmarkStart w:id="26" w:name="ksex_809389"/>
      <w:bookmarkEnd w:id="25"/>
      <w:bookmarkEnd w:id="26"/>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WRITTEN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March 31, 2025 (the “Report”) fully complies with the requirements of Section 13(a)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599" w:type="dxa"/>
        <w:jc w:val="left"/>
        <w:tblInd w:w="0" w:type="dxa"/>
        <w:tblLayout w:type="fixed"/>
        <w:tblCellMar>
          <w:top w:w="0" w:type="dxa"/>
          <w:left w:w="0" w:type="dxa"/>
          <w:bottom w:w="28" w:type="dxa"/>
          <w:right w:w="0" w:type="dxa"/>
        </w:tblCellMar>
      </w:tblPr>
      <w:tblGrid>
        <w:gridCol w:w="5469"/>
        <w:gridCol w:w="130"/>
      </w:tblGrid>
      <w:tr>
        <w:trPr/>
        <w:tc>
          <w:tcPr>
            <w:tcW w:w="54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130" w:type="dxa"/>
            <w:tcBorders/>
            <w:tcMar>
              <w:bottom w:w="0" w:type="dxa"/>
            </w:tcMar>
            <w:vAlign w:val="center"/>
          </w:tcPr>
          <w:p>
            <w:pPr>
              <w:pStyle w:val="TableContents"/>
              <w:bidi w:val="0"/>
              <w:spacing w:before="0" w:after="283"/>
              <w:jc w:val="left"/>
              <w:rPr/>
            </w:pPr>
            <w:r>
              <w:rPr/>
              <w:t> </w:t>
            </w:r>
          </w:p>
        </w:tc>
      </w:tr>
      <w:tr>
        <w:trPr/>
        <w:tc>
          <w:tcPr>
            <w:tcW w:w="5599" w:type="dxa"/>
            <w:gridSpan w:val="2"/>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 Chief Executive Officer and Principal Financial Officer</w:t>
            </w:r>
          </w:p>
        </w:tc>
      </w:tr>
      <w:tr>
        <w:trPr/>
        <w:tc>
          <w:tcPr>
            <w:tcW w:w="546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13, 2025</w:t>
            </w:r>
          </w:p>
        </w:tc>
        <w:tc>
          <w:tcPr>
            <w:tcW w:w="1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33655</Words>
  <Characters>179136</Characters>
  <CharactersWithSpaces>214913</CharactersWithSpaces>
  <Paragraphs>5734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