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mt20251231_10k.htm"/>
      <w:bookmarkStart w:id="1" w:name="kslqmt20251231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No</w:t>
      </w:r>
      <w:r>
        <w:rPr>
          <w:rFonts w:ascii="Times New Roman" w:hAnsi="Times New Roman"/>
          <w:caps w:val="false"/>
          <w:smallCaps w:val="false"/>
          <w:sz w:val="20"/>
        </w:rPr>
        <w:t xml:space="preserve">. </w:t>
      </w:r>
      <w:r>
        <w:rPr>
          <w:rFonts w:ascii="Times New Roman" w:hAnsi="Times New Roman"/>
          <w:b/>
          <w:caps w:val="false"/>
          <w:smallCaps w:val="false"/>
          <w:sz w:val="20"/>
        </w:rPr>
        <w:t>001-31332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bl>
      <w:tblPr>
        <w:tblW w:w="5440" w:type="dxa"/>
        <w:jc w:val="left"/>
        <w:tblInd w:w="0" w:type="dxa"/>
        <w:tblLayout w:type="fixed"/>
        <w:tblCellMar>
          <w:top w:w="0" w:type="dxa"/>
          <w:left w:w="0" w:type="dxa"/>
          <w:bottom w:w="0" w:type="dxa"/>
          <w:right w:w="0" w:type="dxa"/>
        </w:tblCellMar>
      </w:tblPr>
      <w:tblGrid>
        <w:gridCol w:w="3845"/>
        <w:gridCol w:w="60"/>
        <w:gridCol w:w="1535"/>
      </w:tblGrid>
      <w:tr>
        <w:trPr/>
        <w:tc>
          <w:tcPr>
            <w:tcW w:w="38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38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(State or other jurisdiction of incorporation or</w:t>
            </w:r>
            <w:r>
              <w:rPr>
                <w:rFonts w:ascii="Times New Roman" w:hAnsi="Times New Roman"/>
                <w:caps w:val="false"/>
                <w:smallCaps w:val="false"/>
                <w:sz w:val="20"/>
              </w:rPr>
              <w:br/>
            </w:r>
            <w:r>
              <w:rPr>
                <w:rFonts w:ascii="Times New Roman" w:hAnsi="Times New Roman"/>
                <w:i/>
                <w:caps w:val="false"/>
                <w:smallCaps w:val="false"/>
                <w:sz w:val="20"/>
              </w:rPr>
              <w:t>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(I.R.S. Employer</w:t>
            </w:r>
            <w:r>
              <w:rPr>
                <w:rFonts w:ascii="Times New Roman" w:hAnsi="Times New Roman"/>
                <w:caps w:val="false"/>
                <w:smallCaps w:val="false"/>
                <w:sz w:val="20"/>
              </w:rPr>
              <w:br/>
            </w:r>
            <w:r>
              <w:rPr>
                <w:rFonts w:ascii="Times New Roman" w:hAnsi="Times New Roman"/>
                <w:i/>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Lake Forest, CA 92630</w:t>
      </w:r>
      <w:r>
        <w:rPr>
          <w:rFonts w:ascii="Times New Roman" w:hAnsi="Times New Roman"/>
          <w:caps w:val="false"/>
          <w:smallCaps w:val="false"/>
          <w:sz w:val="20"/>
        </w:rPr>
        <w:br/>
      </w:r>
      <w:r>
        <w:rPr>
          <w:rFonts w:ascii="Times New Roman" w:hAnsi="Times New Roman"/>
          <w:i/>
          <w:caps w:val="false"/>
          <w:smallCaps w:val="false"/>
          <w:sz w:val="20"/>
        </w:rPr>
        <w:t>(Address of principal executive offices, zip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(949)</w:t>
      </w:r>
      <w:r>
        <w:rPr>
          <w:rFonts w:ascii="Times New Roman" w:hAnsi="Times New Roman"/>
          <w:caps w:val="false"/>
          <w:smallCaps w:val="false"/>
          <w:sz w:val="20"/>
        </w:rPr>
        <w:t> </w:t>
      </w:r>
      <w:r>
        <w:rPr>
          <w:rFonts w:ascii="Times New Roman" w:hAnsi="Times New Roman"/>
          <w:b/>
          <w:caps w:val="false"/>
          <w:smallCaps w:val="false"/>
          <w:sz w:val="20"/>
        </w:rPr>
        <w:t>635-2100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12(b) of the Act: </w:t>
      </w:r>
      <w:r>
        <w:rPr>
          <w:rFonts w:ascii="Times New Roman" w:hAnsi="Times New Roman"/>
          <w:caps w:val="false"/>
          <w:smallCaps w:val="false"/>
          <w:sz w:val="20"/>
        </w:rPr>
        <w:t>None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12(g) of the Act:</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7" w:type="dxa"/>
        <w:tblLayout w:type="fixed"/>
        <w:tblCellMar>
          <w:top w:w="28" w:type="dxa"/>
          <w:left w:w="28" w:type="dxa"/>
          <w:bottom w:w="28" w:type="dxa"/>
          <w:right w:w="28" w:type="dxa"/>
        </w:tblCellMar>
      </w:tblPr>
      <w:tblGrid>
        <w:gridCol w:w="3470"/>
        <w:gridCol w:w="1535"/>
        <w:gridCol w:w="3575"/>
      </w:tblGrid>
      <w:tr>
        <w:trPr/>
        <w:tc>
          <w:tcPr>
            <w:tcW w:w="34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LQMT</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OTCQB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2450"/>
        <w:gridCol w:w="1580"/>
        <w:gridCol w:w="194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market value of the registrant’s common stock held by non-affiliates of the registrant as of June 30, 2025, was approximately $82,762,624. For purposes of this calculation only, (i) shares of common stock are deemed to have a market value of $0.12 per share, the closing price of the common stock as reported on the “OTCQB Venture Marketplace” on June 30, 2025, and (ii) each of the executive officers, directors and persons holding more than 10% of the outstanding common stock as of June 30, 2025, is deemed to be an affiliate.</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as of March 12, 2026 was 917,285,149.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4"/>
        <w:gridCol w:w="8880"/>
        <w:gridCol w:w="441"/>
      </w:tblGrid>
      <w:tr>
        <w:trPr/>
        <w:tc>
          <w:tcPr>
            <w:tcW w:w="884"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84"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u w:val="single"/>
                </w:rPr>
                <w:t>PART I</w:t>
              </w:r>
            </w:hyperlink>
          </w:p>
        </w:tc>
        <w:tc>
          <w:tcPr>
            <w:tcW w:w="888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880" w:type="dxa"/>
            <w:tcBorders/>
            <w:vAlign w:val="center"/>
          </w:tcPr>
          <w:p>
            <w:pPr>
              <w:pStyle w:val="TableContents"/>
              <w:bidi w:val="0"/>
              <w:spacing w:before="0" w:after="0"/>
              <w:ind w:left="0" w:right="0" w:hanging="0"/>
              <w:jc w:val="left"/>
              <w:rPr/>
            </w:pPr>
            <w:hyperlink w:anchor="item1_business">
              <w:r>
                <w:rPr>
                  <w:rStyle w:val="InternetLink"/>
                  <w:rFonts w:ascii="Times New Roman" w:hAnsi="Times New Roman"/>
                  <w:caps w:val="false"/>
                  <w:smallCaps w:val="false"/>
                  <w:sz w:val="20"/>
                  <w:u w:val="single"/>
                </w:rPr>
                <w:t>Business</w:t>
              </w:r>
            </w:hyperlink>
          </w:p>
        </w:tc>
        <w:tc>
          <w:tcPr>
            <w:tcW w:w="441" w:type="dxa"/>
            <w:tcBorders/>
            <w:vAlign w:val="center"/>
          </w:tcPr>
          <w:p>
            <w:pPr>
              <w:pStyle w:val="TableContents"/>
              <w:bidi w:val="0"/>
              <w:spacing w:before="0" w:after="0"/>
              <w:ind w:left="0" w:right="0" w:hanging="0"/>
              <w:jc w:val="right"/>
              <w:rPr/>
            </w:pPr>
            <w:hyperlink w:anchor="item1_business">
              <w:r>
                <w:rPr>
                  <w:rStyle w:val="InternetLink"/>
                  <w:rFonts w:ascii="Times New Roman" w:hAnsi="Times New Roman"/>
                  <w:caps w:val="false"/>
                  <w:smallCaps w:val="false"/>
                  <w:sz w:val="20"/>
                  <w:u w:val="single"/>
                </w:rPr>
                <w:t>3</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880" w:type="dxa"/>
            <w:tcBorders/>
            <w:vAlign w:val="center"/>
          </w:tcPr>
          <w:p>
            <w:pPr>
              <w:pStyle w:val="TableContents"/>
              <w:bidi w:val="0"/>
              <w:spacing w:before="0" w:after="0"/>
              <w:ind w:left="0" w:right="0" w:hanging="0"/>
              <w:jc w:val="left"/>
              <w:rPr/>
            </w:pPr>
            <w:hyperlink w:anchor="item1a_riskfactors">
              <w:r>
                <w:rPr>
                  <w:rStyle w:val="InternetLink"/>
                  <w:rFonts w:ascii="Times New Roman" w:hAnsi="Times New Roman"/>
                  <w:caps w:val="false"/>
                  <w:smallCaps w:val="false"/>
                  <w:sz w:val="20"/>
                  <w:u w:val="single"/>
                </w:rPr>
                <w:t>Risk Factors</w:t>
              </w:r>
            </w:hyperlink>
          </w:p>
        </w:tc>
        <w:tc>
          <w:tcPr>
            <w:tcW w:w="441" w:type="dxa"/>
            <w:tcBorders/>
            <w:vAlign w:val="center"/>
          </w:tcPr>
          <w:p>
            <w:pPr>
              <w:pStyle w:val="TableContents"/>
              <w:bidi w:val="0"/>
              <w:spacing w:before="0" w:after="0"/>
              <w:ind w:left="0" w:right="0" w:hanging="0"/>
              <w:jc w:val="right"/>
              <w:rPr/>
            </w:pPr>
            <w:hyperlink w:anchor="item1a_riskfactors">
              <w:r>
                <w:rPr>
                  <w:rStyle w:val="InternetLink"/>
                  <w:rFonts w:ascii="Times New Roman" w:hAnsi="Times New Roman"/>
                  <w:caps w:val="false"/>
                  <w:smallCaps w:val="false"/>
                  <w:sz w:val="20"/>
                  <w:u w:val="single"/>
                </w:rPr>
                <w:t>10</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8880" w:type="dxa"/>
            <w:tcBorders/>
            <w:vAlign w:val="center"/>
          </w:tcPr>
          <w:p>
            <w:pPr>
              <w:pStyle w:val="TableContents"/>
              <w:bidi w:val="0"/>
              <w:spacing w:before="0" w:after="0"/>
              <w:ind w:left="0" w:right="0" w:hanging="0"/>
              <w:jc w:val="left"/>
              <w:rPr/>
            </w:pPr>
            <w:hyperlink w:anchor="item1b_unresolved">
              <w:r>
                <w:rPr>
                  <w:rStyle w:val="InternetLink"/>
                  <w:rFonts w:ascii="Times New Roman" w:hAnsi="Times New Roman"/>
                  <w:caps w:val="false"/>
                  <w:smallCaps w:val="false"/>
                  <w:sz w:val="20"/>
                  <w:u w:val="single"/>
                </w:rPr>
                <w:t>Unresolved Staff Comments</w:t>
              </w:r>
            </w:hyperlink>
          </w:p>
        </w:tc>
        <w:tc>
          <w:tcPr>
            <w:tcW w:w="441" w:type="dxa"/>
            <w:tcBorders/>
            <w:vAlign w:val="center"/>
          </w:tcPr>
          <w:p>
            <w:pPr>
              <w:pStyle w:val="TableContents"/>
              <w:bidi w:val="0"/>
              <w:spacing w:before="0" w:after="0"/>
              <w:ind w:left="0" w:right="0" w:hanging="0"/>
              <w:jc w:val="right"/>
              <w:rPr/>
            </w:pPr>
            <w:hyperlink w:anchor="item1b_unresolved">
              <w:r>
                <w:rPr>
                  <w:rStyle w:val="InternetLink"/>
                  <w:rFonts w:ascii="Times New Roman" w:hAnsi="Times New Roman"/>
                  <w:caps w:val="false"/>
                  <w:smallCaps w:val="false"/>
                  <w:sz w:val="20"/>
                  <w:u w:val="single"/>
                </w:rPr>
                <w:t>17</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1C.</w:t>
            </w:r>
          </w:p>
        </w:tc>
        <w:tc>
          <w:tcPr>
            <w:tcW w:w="8880" w:type="dxa"/>
            <w:tcBorders/>
            <w:vAlign w:val="center"/>
          </w:tcPr>
          <w:p>
            <w:pPr>
              <w:pStyle w:val="TableContents"/>
              <w:bidi w:val="0"/>
              <w:spacing w:before="0" w:after="0"/>
              <w:ind w:left="0" w:right="0" w:hanging="0"/>
              <w:jc w:val="left"/>
              <w:rPr/>
            </w:pPr>
            <w:hyperlink w:anchor="item1c_cybersecurity">
              <w:r>
                <w:rPr>
                  <w:rStyle w:val="InternetLink"/>
                  <w:rFonts w:ascii="Times New Roman" w:hAnsi="Times New Roman"/>
                  <w:caps w:val="false"/>
                  <w:smallCaps w:val="false"/>
                  <w:sz w:val="20"/>
                  <w:u w:val="single"/>
                </w:rPr>
                <w:t>Cybersecurity</w:t>
              </w:r>
            </w:hyperlink>
          </w:p>
        </w:tc>
        <w:tc>
          <w:tcPr>
            <w:tcW w:w="441" w:type="dxa"/>
            <w:tcBorders/>
            <w:vAlign w:val="center"/>
          </w:tcPr>
          <w:p>
            <w:pPr>
              <w:pStyle w:val="TableContents"/>
              <w:bidi w:val="0"/>
              <w:spacing w:before="0" w:after="0"/>
              <w:ind w:left="0" w:right="0" w:hanging="0"/>
              <w:jc w:val="right"/>
              <w:rPr/>
            </w:pPr>
            <w:hyperlink w:anchor="item1c_cybersecurity">
              <w:r>
                <w:rPr>
                  <w:rStyle w:val="InternetLink"/>
                  <w:rFonts w:ascii="Times New Roman" w:hAnsi="Times New Roman"/>
                  <w:caps w:val="false"/>
                  <w:smallCaps w:val="false"/>
                  <w:sz w:val="20"/>
                  <w:u w:val="single"/>
                </w:rPr>
                <w:t>18</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880" w:type="dxa"/>
            <w:tcBorders/>
            <w:vAlign w:val="center"/>
          </w:tcPr>
          <w:p>
            <w:pPr>
              <w:pStyle w:val="TableContents"/>
              <w:bidi w:val="0"/>
              <w:spacing w:before="0" w:after="0"/>
              <w:ind w:left="0" w:right="0" w:hanging="0"/>
              <w:jc w:val="left"/>
              <w:rPr/>
            </w:pPr>
            <w:hyperlink w:anchor="item2_properties">
              <w:r>
                <w:rPr>
                  <w:rStyle w:val="InternetLink"/>
                  <w:rFonts w:ascii="Times New Roman" w:hAnsi="Times New Roman"/>
                  <w:caps w:val="false"/>
                  <w:smallCaps w:val="false"/>
                  <w:sz w:val="20"/>
                  <w:u w:val="single"/>
                </w:rPr>
                <w:t>Properties</w:t>
              </w:r>
            </w:hyperlink>
          </w:p>
        </w:tc>
        <w:tc>
          <w:tcPr>
            <w:tcW w:w="441" w:type="dxa"/>
            <w:tcBorders/>
            <w:vAlign w:val="center"/>
          </w:tcPr>
          <w:p>
            <w:pPr>
              <w:pStyle w:val="TableContents"/>
              <w:bidi w:val="0"/>
              <w:spacing w:before="0" w:after="0"/>
              <w:ind w:left="0" w:right="0" w:hanging="0"/>
              <w:jc w:val="right"/>
              <w:rPr/>
            </w:pPr>
            <w:hyperlink w:anchor="item2_properties">
              <w:r>
                <w:rPr>
                  <w:rStyle w:val="InternetLink"/>
                  <w:rFonts w:ascii="Times New Roman" w:hAnsi="Times New Roman"/>
                  <w:caps w:val="false"/>
                  <w:smallCaps w:val="false"/>
                  <w:sz w:val="20"/>
                  <w:u w:val="single"/>
                </w:rPr>
                <w:t>18</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880" w:type="dxa"/>
            <w:tcBorders/>
            <w:vAlign w:val="center"/>
          </w:tcPr>
          <w:p>
            <w:pPr>
              <w:pStyle w:val="TableContents"/>
              <w:bidi w:val="0"/>
              <w:spacing w:before="0" w:after="0"/>
              <w:ind w:left="0" w:right="0" w:hanging="0"/>
              <w:jc w:val="left"/>
              <w:rPr/>
            </w:pPr>
            <w:hyperlink w:anchor="item3_legal">
              <w:r>
                <w:rPr>
                  <w:rStyle w:val="InternetLink"/>
                  <w:rFonts w:ascii="Times New Roman" w:hAnsi="Times New Roman"/>
                  <w:caps w:val="false"/>
                  <w:smallCaps w:val="false"/>
                  <w:sz w:val="20"/>
                  <w:u w:val="single"/>
                </w:rPr>
                <w:t>Legal Proceedings</w:t>
              </w:r>
            </w:hyperlink>
          </w:p>
        </w:tc>
        <w:tc>
          <w:tcPr>
            <w:tcW w:w="441" w:type="dxa"/>
            <w:tcBorders/>
            <w:vAlign w:val="center"/>
          </w:tcPr>
          <w:p>
            <w:pPr>
              <w:pStyle w:val="TableContents"/>
              <w:bidi w:val="0"/>
              <w:spacing w:before="0" w:after="0"/>
              <w:ind w:left="0" w:right="0" w:hanging="0"/>
              <w:jc w:val="right"/>
              <w:rPr/>
            </w:pPr>
            <w:hyperlink w:anchor="item3_legal">
              <w:r>
                <w:rPr>
                  <w:rStyle w:val="InternetLink"/>
                  <w:rFonts w:ascii="Times New Roman" w:hAnsi="Times New Roman"/>
                  <w:caps w:val="false"/>
                  <w:smallCaps w:val="false"/>
                  <w:sz w:val="20"/>
                  <w:u w:val="single"/>
                </w:rPr>
                <w:t>18</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880" w:type="dxa"/>
            <w:tcBorders/>
            <w:vAlign w:val="center"/>
          </w:tcPr>
          <w:p>
            <w:pPr>
              <w:pStyle w:val="TableContents"/>
              <w:bidi w:val="0"/>
              <w:spacing w:before="0" w:after="0"/>
              <w:ind w:left="0" w:right="0" w:hanging="0"/>
              <w:jc w:val="left"/>
              <w:rPr/>
            </w:pPr>
            <w:hyperlink w:anchor="item4_minesafetly">
              <w:r>
                <w:rPr>
                  <w:rStyle w:val="InternetLink"/>
                  <w:rFonts w:ascii="Times New Roman" w:hAnsi="Times New Roman"/>
                  <w:caps w:val="false"/>
                  <w:smallCaps w:val="false"/>
                  <w:sz w:val="20"/>
                  <w:u w:val="single"/>
                </w:rPr>
                <w:t>Mine Safety Disclosures</w:t>
              </w:r>
            </w:hyperlink>
          </w:p>
        </w:tc>
        <w:tc>
          <w:tcPr>
            <w:tcW w:w="441" w:type="dxa"/>
            <w:tcBorders/>
            <w:vAlign w:val="center"/>
          </w:tcPr>
          <w:p>
            <w:pPr>
              <w:pStyle w:val="TableContents"/>
              <w:bidi w:val="0"/>
              <w:spacing w:before="0" w:after="0"/>
              <w:ind w:left="0" w:right="0" w:hanging="0"/>
              <w:jc w:val="right"/>
              <w:rPr/>
            </w:pPr>
            <w:hyperlink w:anchor="item4_minesafetly">
              <w:r>
                <w:rPr>
                  <w:rStyle w:val="InternetLink"/>
                  <w:rFonts w:ascii="Times New Roman" w:hAnsi="Times New Roman"/>
                  <w:caps w:val="false"/>
                  <w:smallCaps w:val="false"/>
                  <w:sz w:val="20"/>
                  <w:u w:val="single"/>
                </w:rPr>
                <w:t>18</w:t>
              </w:r>
            </w:hyperlink>
          </w:p>
        </w:tc>
      </w:tr>
      <w:tr>
        <w:trPr/>
        <w:tc>
          <w:tcPr>
            <w:tcW w:w="884"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u w:val="single"/>
                </w:rPr>
                <w:t>PART II</w:t>
              </w:r>
            </w:hyperlink>
          </w:p>
        </w:tc>
        <w:tc>
          <w:tcPr>
            <w:tcW w:w="888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880" w:type="dxa"/>
            <w:tcBorders/>
            <w:vAlign w:val="center"/>
          </w:tcPr>
          <w:p>
            <w:pPr>
              <w:pStyle w:val="TableContents"/>
              <w:bidi w:val="0"/>
              <w:spacing w:before="0" w:after="0"/>
              <w:ind w:left="0" w:right="0" w:hanging="0"/>
              <w:jc w:val="left"/>
              <w:rPr/>
            </w:pPr>
            <w:hyperlink w:anchor="item5_market">
              <w:r>
                <w:rPr>
                  <w:rStyle w:val="InternetLink"/>
                  <w:rFonts w:ascii="Times New Roman" w:hAnsi="Times New Roman"/>
                  <w:caps w:val="false"/>
                  <w:smallCaps w:val="false"/>
                  <w:sz w:val="20"/>
                  <w:u w:val="single"/>
                </w:rPr>
                <w:t>Market for Registrant's Common Equity, Related Stockholder Matters and Issuer Purchases of Equity Securities</w:t>
              </w:r>
            </w:hyperlink>
          </w:p>
        </w:tc>
        <w:tc>
          <w:tcPr>
            <w:tcW w:w="441" w:type="dxa"/>
            <w:tcBorders/>
            <w:vAlign w:val="center"/>
          </w:tcPr>
          <w:p>
            <w:pPr>
              <w:pStyle w:val="TableContents"/>
              <w:bidi w:val="0"/>
              <w:spacing w:before="0" w:after="0"/>
              <w:ind w:left="0" w:right="0" w:hanging="0"/>
              <w:jc w:val="right"/>
              <w:rPr/>
            </w:pPr>
            <w:hyperlink w:anchor="item5_market">
              <w:r>
                <w:rPr>
                  <w:rStyle w:val="InternetLink"/>
                  <w:rFonts w:ascii="Times New Roman" w:hAnsi="Times New Roman"/>
                  <w:caps w:val="false"/>
                  <w:smallCaps w:val="false"/>
                  <w:sz w:val="20"/>
                  <w:u w:val="single"/>
                </w:rPr>
                <w:t>19</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880" w:type="dxa"/>
            <w:tcBorders/>
            <w:vAlign w:val="center"/>
          </w:tcPr>
          <w:p>
            <w:pPr>
              <w:pStyle w:val="TableContents"/>
              <w:bidi w:val="0"/>
              <w:spacing w:before="0" w:after="0"/>
              <w:ind w:left="0" w:right="0" w:hanging="0"/>
              <w:jc w:val="left"/>
              <w:rPr/>
            </w:pPr>
            <w:hyperlink w:anchor="item6_reserved">
              <w:r>
                <w:rPr>
                  <w:rStyle w:val="InternetLink"/>
                  <w:rFonts w:ascii="Times New Roman" w:hAnsi="Times New Roman"/>
                  <w:caps w:val="false"/>
                  <w:smallCaps w:val="false"/>
                  <w:sz w:val="20"/>
                  <w:u w:val="single"/>
                </w:rPr>
                <w:t>[Reserved]</w:t>
              </w:r>
            </w:hyperlink>
          </w:p>
        </w:tc>
        <w:tc>
          <w:tcPr>
            <w:tcW w:w="441" w:type="dxa"/>
            <w:tcBorders/>
            <w:vAlign w:val="center"/>
          </w:tcPr>
          <w:p>
            <w:pPr>
              <w:pStyle w:val="TableContents"/>
              <w:bidi w:val="0"/>
              <w:spacing w:before="0" w:after="0"/>
              <w:ind w:left="0" w:right="0" w:hanging="0"/>
              <w:jc w:val="right"/>
              <w:rPr/>
            </w:pPr>
            <w:hyperlink w:anchor="item6_reserved">
              <w:r>
                <w:rPr>
                  <w:rStyle w:val="InternetLink"/>
                  <w:rFonts w:ascii="Times New Roman" w:hAnsi="Times New Roman"/>
                  <w:caps w:val="false"/>
                  <w:smallCaps w:val="false"/>
                  <w:sz w:val="20"/>
                  <w:u w:val="single"/>
                </w:rPr>
                <w:t>19</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8880" w:type="dxa"/>
            <w:tcBorders/>
            <w:vAlign w:val="center"/>
          </w:tcPr>
          <w:p>
            <w:pPr>
              <w:pStyle w:val="TableContents"/>
              <w:bidi w:val="0"/>
              <w:spacing w:before="0" w:after="0"/>
              <w:ind w:left="0" w:right="0" w:hanging="0"/>
              <w:jc w:val="left"/>
              <w:rPr/>
            </w:pPr>
            <w:hyperlink w:anchor="item7_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right"/>
              <w:rPr/>
            </w:pPr>
            <w:hyperlink w:anchor="item7_mda">
              <w:r>
                <w:rPr>
                  <w:rStyle w:val="InternetLink"/>
                  <w:rFonts w:ascii="Times New Roman" w:hAnsi="Times New Roman"/>
                  <w:caps w:val="false"/>
                  <w:smallCaps w:val="false"/>
                  <w:sz w:val="20"/>
                  <w:u w:val="single"/>
                </w:rPr>
                <w:t>19</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8880" w:type="dxa"/>
            <w:tcBorders/>
            <w:vAlign w:val="center"/>
          </w:tcPr>
          <w:p>
            <w:pPr>
              <w:pStyle w:val="TableContents"/>
              <w:bidi w:val="0"/>
              <w:spacing w:before="0" w:after="0"/>
              <w:ind w:left="0" w:right="0" w:hanging="0"/>
              <w:jc w:val="left"/>
              <w:rPr/>
            </w:pPr>
            <w:hyperlink w:anchor="item7a_quanqual">
              <w:r>
                <w:rPr>
                  <w:rStyle w:val="InternetLink"/>
                  <w:rFonts w:ascii="Times New Roman" w:hAnsi="Times New Roman"/>
                  <w:caps w:val="false"/>
                  <w:smallCaps w:val="false"/>
                  <w:sz w:val="20"/>
                  <w:u w:val="single"/>
                </w:rPr>
                <w:t>Quantitative and Qualitative Disclosures About Market Risk</w:t>
              </w:r>
            </w:hyperlink>
          </w:p>
        </w:tc>
        <w:tc>
          <w:tcPr>
            <w:tcW w:w="441" w:type="dxa"/>
            <w:tcBorders/>
            <w:vAlign w:val="center"/>
          </w:tcPr>
          <w:p>
            <w:pPr>
              <w:pStyle w:val="TableContents"/>
              <w:bidi w:val="0"/>
              <w:spacing w:before="0" w:after="0"/>
              <w:ind w:left="0" w:right="0" w:hanging="0"/>
              <w:jc w:val="right"/>
              <w:rPr/>
            </w:pPr>
            <w:hyperlink w:anchor="item7a_quanqual">
              <w:r>
                <w:rPr>
                  <w:rStyle w:val="InternetLink"/>
                  <w:rFonts w:ascii="Times New Roman" w:hAnsi="Times New Roman"/>
                  <w:caps w:val="false"/>
                  <w:smallCaps w:val="false"/>
                  <w:sz w:val="20"/>
                  <w:u w:val="single"/>
                </w:rPr>
                <w:t>25</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8880" w:type="dxa"/>
            <w:tcBorders/>
            <w:vAlign w:val="center"/>
          </w:tcPr>
          <w:p>
            <w:pPr>
              <w:pStyle w:val="TableContents"/>
              <w:bidi w:val="0"/>
              <w:spacing w:before="0" w:after="0"/>
              <w:ind w:left="0" w:right="0" w:hanging="0"/>
              <w:jc w:val="left"/>
              <w:rPr/>
            </w:pPr>
            <w:hyperlink w:anchor="item8_financials">
              <w:r>
                <w:rPr>
                  <w:rStyle w:val="InternetLink"/>
                  <w:rFonts w:ascii="Times New Roman" w:hAnsi="Times New Roman"/>
                  <w:caps w:val="false"/>
                  <w:smallCaps w:val="false"/>
                  <w:sz w:val="20"/>
                  <w:u w:val="single"/>
                </w:rPr>
                <w:t>Financial Statements and Supplementary Data</w:t>
              </w:r>
            </w:hyperlink>
          </w:p>
        </w:tc>
        <w:tc>
          <w:tcPr>
            <w:tcW w:w="441" w:type="dxa"/>
            <w:tcBorders/>
            <w:vAlign w:val="center"/>
          </w:tcPr>
          <w:p>
            <w:pPr>
              <w:pStyle w:val="TableContents"/>
              <w:bidi w:val="0"/>
              <w:spacing w:before="0" w:after="0"/>
              <w:ind w:left="0" w:right="0" w:hanging="0"/>
              <w:jc w:val="right"/>
              <w:rPr/>
            </w:pPr>
            <w:hyperlink w:anchor="item8_financials">
              <w:r>
                <w:rPr>
                  <w:rStyle w:val="InternetLink"/>
                  <w:rFonts w:ascii="Times New Roman" w:hAnsi="Times New Roman"/>
                  <w:caps w:val="false"/>
                  <w:smallCaps w:val="false"/>
                  <w:sz w:val="20"/>
                  <w:u w:val="single"/>
                </w:rPr>
                <w:t>25</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8880" w:type="dxa"/>
            <w:tcBorders/>
            <w:vAlign w:val="center"/>
          </w:tcPr>
          <w:p>
            <w:pPr>
              <w:pStyle w:val="TableContents"/>
              <w:bidi w:val="0"/>
              <w:spacing w:before="0" w:after="0"/>
              <w:ind w:left="0" w:right="0" w:hanging="0"/>
              <w:jc w:val="left"/>
              <w:rPr/>
            </w:pPr>
            <w:hyperlink w:anchor="item9_changes">
              <w:r>
                <w:rPr>
                  <w:rStyle w:val="InternetLink"/>
                  <w:rFonts w:ascii="Times New Roman" w:hAnsi="Times New Roman"/>
                  <w:caps w:val="false"/>
                  <w:smallCaps w:val="false"/>
                  <w:sz w:val="20"/>
                  <w:u w:val="single"/>
                </w:rPr>
                <w:t>Changes in and Disagreements with Accountants on Accounting and Financial Disclosure</w:t>
              </w:r>
            </w:hyperlink>
          </w:p>
        </w:tc>
        <w:tc>
          <w:tcPr>
            <w:tcW w:w="441" w:type="dxa"/>
            <w:tcBorders/>
            <w:vAlign w:val="center"/>
          </w:tcPr>
          <w:p>
            <w:pPr>
              <w:pStyle w:val="TableContents"/>
              <w:bidi w:val="0"/>
              <w:spacing w:before="0" w:after="0"/>
              <w:ind w:left="0" w:right="0" w:hanging="0"/>
              <w:jc w:val="right"/>
              <w:rPr/>
            </w:pPr>
            <w:hyperlink w:anchor="item9_changes">
              <w:r>
                <w:rPr>
                  <w:rStyle w:val="InternetLink"/>
                  <w:rFonts w:ascii="Times New Roman" w:hAnsi="Times New Roman"/>
                  <w:caps w:val="false"/>
                  <w:smallCaps w:val="false"/>
                  <w:sz w:val="20"/>
                  <w:u w:val="single"/>
                </w:rPr>
                <w:t>26</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8880" w:type="dxa"/>
            <w:tcBorders/>
            <w:vAlign w:val="center"/>
          </w:tcPr>
          <w:p>
            <w:pPr>
              <w:pStyle w:val="TableContents"/>
              <w:bidi w:val="0"/>
              <w:spacing w:before="0" w:after="0"/>
              <w:ind w:left="0" w:right="0" w:hanging="0"/>
              <w:jc w:val="left"/>
              <w:rPr/>
            </w:pPr>
            <w:hyperlink w:anchor="item9a_controls">
              <w:r>
                <w:rPr>
                  <w:rStyle w:val="InternetLink"/>
                  <w:rFonts w:ascii="Times New Roman" w:hAnsi="Times New Roman"/>
                  <w:caps w:val="false"/>
                  <w:smallCaps w:val="false"/>
                  <w:sz w:val="20"/>
                  <w:u w:val="single"/>
                </w:rPr>
                <w:t>Controls and Procedures</w:t>
              </w:r>
            </w:hyperlink>
          </w:p>
        </w:tc>
        <w:tc>
          <w:tcPr>
            <w:tcW w:w="441" w:type="dxa"/>
            <w:tcBorders/>
            <w:vAlign w:val="center"/>
          </w:tcPr>
          <w:p>
            <w:pPr>
              <w:pStyle w:val="TableContents"/>
              <w:bidi w:val="0"/>
              <w:spacing w:before="0" w:after="0"/>
              <w:ind w:left="0" w:right="0" w:hanging="0"/>
              <w:jc w:val="right"/>
              <w:rPr/>
            </w:pPr>
            <w:hyperlink w:anchor="item9a_controls">
              <w:r>
                <w:rPr>
                  <w:rStyle w:val="InternetLink"/>
                  <w:rFonts w:ascii="Times New Roman" w:hAnsi="Times New Roman"/>
                  <w:caps w:val="false"/>
                  <w:smallCaps w:val="false"/>
                  <w:sz w:val="20"/>
                  <w:u w:val="single"/>
                </w:rPr>
                <w:t>26</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8880" w:type="dxa"/>
            <w:tcBorders/>
            <w:vAlign w:val="center"/>
          </w:tcPr>
          <w:p>
            <w:pPr>
              <w:pStyle w:val="TableContents"/>
              <w:bidi w:val="0"/>
              <w:spacing w:before="0" w:after="0"/>
              <w:ind w:left="0" w:right="0" w:hanging="0"/>
              <w:jc w:val="left"/>
              <w:rPr/>
            </w:pPr>
            <w:hyperlink w:anchor="item9b_other">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0"/>
              <w:ind w:left="0" w:right="0" w:hanging="0"/>
              <w:jc w:val="right"/>
              <w:rPr/>
            </w:pPr>
            <w:hyperlink w:anchor="item9b_other">
              <w:r>
                <w:rPr>
                  <w:rStyle w:val="InternetLink"/>
                  <w:rFonts w:ascii="Times New Roman" w:hAnsi="Times New Roman"/>
                  <w:caps w:val="false"/>
                  <w:smallCaps w:val="false"/>
                  <w:sz w:val="20"/>
                  <w:u w:val="single"/>
                </w:rPr>
                <w:t>26</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9C.</w:t>
            </w:r>
          </w:p>
        </w:tc>
        <w:tc>
          <w:tcPr>
            <w:tcW w:w="8880" w:type="dxa"/>
            <w:tcBorders/>
            <w:vAlign w:val="center"/>
          </w:tcPr>
          <w:p>
            <w:pPr>
              <w:pStyle w:val="TableContents"/>
              <w:bidi w:val="0"/>
              <w:spacing w:before="0" w:after="0"/>
              <w:ind w:left="0" w:right="0" w:hanging="0"/>
              <w:jc w:val="left"/>
              <w:rPr/>
            </w:pPr>
            <w:hyperlink w:anchor="item9c_disclosure">
              <w:r>
                <w:rPr>
                  <w:rStyle w:val="InternetLink"/>
                  <w:rFonts w:ascii="Times New Roman" w:hAnsi="Times New Roman"/>
                  <w:caps w:val="false"/>
                  <w:smallCaps w:val="false"/>
                  <w:sz w:val="20"/>
                  <w:u w:val="single"/>
                </w:rPr>
                <w:t>Disclosure Regarding Foreign Jurisdictions that Prevent Inspections</w:t>
              </w:r>
            </w:hyperlink>
          </w:p>
        </w:tc>
        <w:tc>
          <w:tcPr>
            <w:tcW w:w="441" w:type="dxa"/>
            <w:tcBorders/>
            <w:vAlign w:val="center"/>
          </w:tcPr>
          <w:p>
            <w:pPr>
              <w:pStyle w:val="TableContents"/>
              <w:bidi w:val="0"/>
              <w:spacing w:before="0" w:after="0"/>
              <w:ind w:left="0" w:right="0" w:hanging="0"/>
              <w:jc w:val="right"/>
              <w:rPr/>
            </w:pPr>
            <w:hyperlink w:anchor="item9c_disclosure">
              <w:r>
                <w:rPr>
                  <w:rStyle w:val="InternetLink"/>
                  <w:rFonts w:ascii="Times New Roman" w:hAnsi="Times New Roman"/>
                  <w:caps w:val="false"/>
                  <w:smallCaps w:val="false"/>
                  <w:sz w:val="20"/>
                  <w:u w:val="single"/>
                </w:rPr>
                <w:t>26</w:t>
              </w:r>
            </w:hyperlink>
          </w:p>
        </w:tc>
      </w:tr>
      <w:tr>
        <w:trPr/>
        <w:tc>
          <w:tcPr>
            <w:tcW w:w="884" w:type="dxa"/>
            <w:tcBorders/>
            <w:vAlign w:val="center"/>
          </w:tcPr>
          <w:p>
            <w:pPr>
              <w:pStyle w:val="TableContents"/>
              <w:bidi w:val="0"/>
              <w:spacing w:before="0" w:after="0"/>
              <w:ind w:left="0" w:right="0" w:hanging="0"/>
              <w:jc w:val="left"/>
              <w:rPr/>
            </w:pPr>
            <w:hyperlink w:anchor="part3">
              <w:r>
                <w:rPr>
                  <w:rStyle w:val="InternetLink"/>
                  <w:rFonts w:ascii="Times New Roman" w:hAnsi="Times New Roman"/>
                  <w:caps w:val="false"/>
                  <w:smallCaps w:val="false"/>
                  <w:sz w:val="20"/>
                  <w:u w:val="single"/>
                </w:rPr>
                <w:t>PART III</w:t>
              </w:r>
            </w:hyperlink>
          </w:p>
        </w:tc>
        <w:tc>
          <w:tcPr>
            <w:tcW w:w="888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8880" w:type="dxa"/>
            <w:tcBorders/>
            <w:vAlign w:val="center"/>
          </w:tcPr>
          <w:p>
            <w:pPr>
              <w:pStyle w:val="TableContents"/>
              <w:bidi w:val="0"/>
              <w:spacing w:before="0" w:after="0"/>
              <w:ind w:left="0" w:right="0" w:hanging="0"/>
              <w:jc w:val="left"/>
              <w:rPr/>
            </w:pPr>
            <w:hyperlink w:anchor="item10_directors">
              <w:r>
                <w:rPr>
                  <w:rStyle w:val="InternetLink"/>
                  <w:rFonts w:ascii="Times New Roman" w:hAnsi="Times New Roman"/>
                  <w:caps w:val="false"/>
                  <w:smallCaps w:val="false"/>
                  <w:sz w:val="20"/>
                  <w:u w:val="single"/>
                </w:rPr>
                <w:t>Directors, Executive Officers and Corporate Governance</w:t>
              </w:r>
            </w:hyperlink>
          </w:p>
        </w:tc>
        <w:tc>
          <w:tcPr>
            <w:tcW w:w="441" w:type="dxa"/>
            <w:tcBorders/>
            <w:vAlign w:val="center"/>
          </w:tcPr>
          <w:p>
            <w:pPr>
              <w:pStyle w:val="TableContents"/>
              <w:bidi w:val="0"/>
              <w:spacing w:before="0" w:after="0"/>
              <w:ind w:left="0" w:right="0" w:hanging="0"/>
              <w:jc w:val="right"/>
              <w:rPr/>
            </w:pPr>
            <w:hyperlink w:anchor="item10_directors">
              <w:r>
                <w:rPr>
                  <w:rStyle w:val="InternetLink"/>
                  <w:rFonts w:ascii="Times New Roman" w:hAnsi="Times New Roman"/>
                  <w:caps w:val="false"/>
                  <w:smallCaps w:val="false"/>
                  <w:sz w:val="20"/>
                  <w:u w:val="single"/>
                </w:rPr>
                <w:t>27</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8880" w:type="dxa"/>
            <w:tcBorders/>
            <w:vAlign w:val="center"/>
          </w:tcPr>
          <w:p>
            <w:pPr>
              <w:pStyle w:val="TableContents"/>
              <w:bidi w:val="0"/>
              <w:spacing w:before="0" w:after="0"/>
              <w:ind w:left="0" w:right="0" w:hanging="0"/>
              <w:jc w:val="left"/>
              <w:rPr/>
            </w:pPr>
            <w:hyperlink w:anchor="item11_compensation">
              <w:r>
                <w:rPr>
                  <w:rStyle w:val="InternetLink"/>
                  <w:rFonts w:ascii="Times New Roman" w:hAnsi="Times New Roman"/>
                  <w:caps w:val="false"/>
                  <w:smallCaps w:val="false"/>
                  <w:sz w:val="20"/>
                  <w:u w:val="single"/>
                </w:rPr>
                <w:t>Executive Compensation</w:t>
              </w:r>
            </w:hyperlink>
          </w:p>
        </w:tc>
        <w:tc>
          <w:tcPr>
            <w:tcW w:w="441" w:type="dxa"/>
            <w:tcBorders/>
            <w:vAlign w:val="center"/>
          </w:tcPr>
          <w:p>
            <w:pPr>
              <w:pStyle w:val="TableContents"/>
              <w:bidi w:val="0"/>
              <w:spacing w:before="0" w:after="0"/>
              <w:ind w:left="0" w:right="0" w:hanging="0"/>
              <w:jc w:val="right"/>
              <w:rPr/>
            </w:pPr>
            <w:hyperlink w:anchor="item11_compensation">
              <w:r>
                <w:rPr>
                  <w:rStyle w:val="InternetLink"/>
                  <w:rFonts w:ascii="Times New Roman" w:hAnsi="Times New Roman"/>
                  <w:caps w:val="false"/>
                  <w:smallCaps w:val="false"/>
                  <w:sz w:val="20"/>
                  <w:u w:val="single"/>
                </w:rPr>
                <w:t>28</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8880" w:type="dxa"/>
            <w:tcBorders/>
            <w:vAlign w:val="center"/>
          </w:tcPr>
          <w:p>
            <w:pPr>
              <w:pStyle w:val="TableContents"/>
              <w:bidi w:val="0"/>
              <w:spacing w:before="0" w:after="0"/>
              <w:ind w:left="0" w:right="0" w:hanging="0"/>
              <w:jc w:val="left"/>
              <w:rPr/>
            </w:pPr>
            <w:hyperlink w:anchor="item12_security">
              <w:r>
                <w:rPr>
                  <w:rStyle w:val="InternetLink"/>
                  <w:rFonts w:ascii="Times New Roman" w:hAnsi="Times New Roman"/>
                  <w:caps w:val="false"/>
                  <w:smallCaps w:val="false"/>
                  <w:sz w:val="20"/>
                  <w:u w:val="single"/>
                </w:rPr>
                <w:t>Security Ownership of Certain Beneficial Owners and Management and Related Stockholder Matters</w:t>
              </w:r>
            </w:hyperlink>
          </w:p>
        </w:tc>
        <w:tc>
          <w:tcPr>
            <w:tcW w:w="441" w:type="dxa"/>
            <w:tcBorders/>
            <w:vAlign w:val="center"/>
          </w:tcPr>
          <w:p>
            <w:pPr>
              <w:pStyle w:val="TableContents"/>
              <w:bidi w:val="0"/>
              <w:spacing w:before="0" w:after="0"/>
              <w:ind w:left="0" w:right="0" w:hanging="0"/>
              <w:jc w:val="right"/>
              <w:rPr/>
            </w:pPr>
            <w:hyperlink w:anchor="item12_security">
              <w:r>
                <w:rPr>
                  <w:rStyle w:val="InternetLink"/>
                  <w:rFonts w:ascii="Times New Roman" w:hAnsi="Times New Roman"/>
                  <w:caps w:val="false"/>
                  <w:smallCaps w:val="false"/>
                  <w:sz w:val="20"/>
                  <w:u w:val="single"/>
                </w:rPr>
                <w:t>30</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8880" w:type="dxa"/>
            <w:tcBorders/>
            <w:vAlign w:val="center"/>
          </w:tcPr>
          <w:p>
            <w:pPr>
              <w:pStyle w:val="TableContents"/>
              <w:bidi w:val="0"/>
              <w:spacing w:before="0" w:after="0"/>
              <w:ind w:left="0" w:right="0" w:hanging="0"/>
              <w:jc w:val="left"/>
              <w:rPr/>
            </w:pPr>
            <w:hyperlink w:anchor="item13_certain">
              <w:r>
                <w:rPr>
                  <w:rStyle w:val="InternetLink"/>
                  <w:rFonts w:ascii="Times New Roman" w:hAnsi="Times New Roman"/>
                  <w:caps w:val="false"/>
                  <w:smallCaps w:val="false"/>
                  <w:sz w:val="20"/>
                  <w:u w:val="single"/>
                </w:rPr>
                <w:t>Certain Relationships and Related Transactions, and Director Independence</w:t>
              </w:r>
            </w:hyperlink>
          </w:p>
        </w:tc>
        <w:tc>
          <w:tcPr>
            <w:tcW w:w="441" w:type="dxa"/>
            <w:tcBorders/>
            <w:vAlign w:val="center"/>
          </w:tcPr>
          <w:p>
            <w:pPr>
              <w:pStyle w:val="TableContents"/>
              <w:bidi w:val="0"/>
              <w:spacing w:before="0" w:after="0"/>
              <w:ind w:left="0" w:right="0" w:hanging="0"/>
              <w:jc w:val="right"/>
              <w:rPr/>
            </w:pPr>
            <w:hyperlink w:anchor="item13_certain">
              <w:r>
                <w:rPr>
                  <w:rStyle w:val="InternetLink"/>
                  <w:rFonts w:ascii="Times New Roman" w:hAnsi="Times New Roman"/>
                  <w:caps w:val="false"/>
                  <w:smallCaps w:val="false"/>
                  <w:sz w:val="20"/>
                  <w:u w:val="single"/>
                </w:rPr>
                <w:t>33</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8880" w:type="dxa"/>
            <w:tcBorders/>
            <w:vAlign w:val="center"/>
          </w:tcPr>
          <w:p>
            <w:pPr>
              <w:pStyle w:val="TableContents"/>
              <w:bidi w:val="0"/>
              <w:spacing w:before="0" w:after="0"/>
              <w:ind w:left="0" w:right="0" w:hanging="0"/>
              <w:jc w:val="left"/>
              <w:rPr/>
            </w:pPr>
            <w:hyperlink w:anchor="item14_principal">
              <w:r>
                <w:rPr>
                  <w:rStyle w:val="InternetLink"/>
                  <w:rFonts w:ascii="Times New Roman" w:hAnsi="Times New Roman"/>
                  <w:caps w:val="false"/>
                  <w:smallCaps w:val="false"/>
                  <w:sz w:val="20"/>
                  <w:u w:val="single"/>
                </w:rPr>
                <w:t>Principal Accounting Fees and Services</w:t>
              </w:r>
            </w:hyperlink>
          </w:p>
        </w:tc>
        <w:tc>
          <w:tcPr>
            <w:tcW w:w="441" w:type="dxa"/>
            <w:tcBorders/>
            <w:vAlign w:val="center"/>
          </w:tcPr>
          <w:p>
            <w:pPr>
              <w:pStyle w:val="TableContents"/>
              <w:bidi w:val="0"/>
              <w:spacing w:before="0" w:after="0"/>
              <w:ind w:left="0" w:right="0" w:hanging="0"/>
              <w:jc w:val="right"/>
              <w:rPr/>
            </w:pPr>
            <w:hyperlink w:anchor="item14_principal">
              <w:r>
                <w:rPr>
                  <w:rStyle w:val="InternetLink"/>
                  <w:rFonts w:ascii="Times New Roman" w:hAnsi="Times New Roman"/>
                  <w:caps w:val="false"/>
                  <w:smallCaps w:val="false"/>
                  <w:sz w:val="20"/>
                  <w:u w:val="single"/>
                </w:rPr>
                <w:t>33</w:t>
              </w:r>
            </w:hyperlink>
          </w:p>
        </w:tc>
      </w:tr>
      <w:tr>
        <w:trPr/>
        <w:tc>
          <w:tcPr>
            <w:tcW w:w="884" w:type="dxa"/>
            <w:tcBorders/>
            <w:vAlign w:val="center"/>
          </w:tcPr>
          <w:p>
            <w:pPr>
              <w:pStyle w:val="TableContents"/>
              <w:bidi w:val="0"/>
              <w:spacing w:before="0" w:after="0"/>
              <w:ind w:left="0" w:right="0" w:hanging="0"/>
              <w:jc w:val="left"/>
              <w:rPr/>
            </w:pPr>
            <w:hyperlink w:anchor="part4">
              <w:r>
                <w:rPr>
                  <w:rStyle w:val="InternetLink"/>
                  <w:rFonts w:ascii="Times New Roman" w:hAnsi="Times New Roman"/>
                  <w:caps w:val="false"/>
                  <w:smallCaps w:val="false"/>
                  <w:sz w:val="20"/>
                  <w:u w:val="single"/>
                </w:rPr>
                <w:t>PART IV</w:t>
              </w:r>
            </w:hyperlink>
          </w:p>
        </w:tc>
        <w:tc>
          <w:tcPr>
            <w:tcW w:w="888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8880" w:type="dxa"/>
            <w:tcBorders/>
            <w:vAlign w:val="center"/>
          </w:tcPr>
          <w:p>
            <w:pPr>
              <w:pStyle w:val="TableContents"/>
              <w:bidi w:val="0"/>
              <w:spacing w:before="0" w:after="0"/>
              <w:ind w:left="0" w:right="0" w:hanging="0"/>
              <w:jc w:val="left"/>
              <w:rPr/>
            </w:pPr>
            <w:hyperlink w:anchor="item15_exhibits">
              <w:r>
                <w:rPr>
                  <w:rStyle w:val="InternetLink"/>
                  <w:rFonts w:ascii="Times New Roman" w:hAnsi="Times New Roman"/>
                  <w:caps w:val="false"/>
                  <w:smallCaps w:val="false"/>
                  <w:sz w:val="20"/>
                  <w:u w:val="single"/>
                </w:rPr>
                <w:t>Exhibits, Financial Statement Schedules</w:t>
              </w:r>
            </w:hyperlink>
          </w:p>
        </w:tc>
        <w:tc>
          <w:tcPr>
            <w:tcW w:w="441" w:type="dxa"/>
            <w:tcBorders/>
            <w:vAlign w:val="center"/>
          </w:tcPr>
          <w:p>
            <w:pPr>
              <w:pStyle w:val="TableContents"/>
              <w:bidi w:val="0"/>
              <w:spacing w:before="0" w:after="0"/>
              <w:ind w:left="0" w:right="0" w:hanging="0"/>
              <w:jc w:val="right"/>
              <w:rPr/>
            </w:pPr>
            <w:hyperlink w:anchor="item15_exhibits">
              <w:r>
                <w:rPr>
                  <w:rStyle w:val="InternetLink"/>
                  <w:rFonts w:ascii="Times New Roman" w:hAnsi="Times New Roman"/>
                  <w:caps w:val="false"/>
                  <w:smallCaps w:val="false"/>
                  <w:sz w:val="20"/>
                  <w:u w:val="single"/>
                </w:rPr>
                <w:t>34</w:t>
              </w:r>
            </w:hyperlink>
          </w:p>
        </w:tc>
      </w:tr>
      <w:tr>
        <w:trPr/>
        <w:tc>
          <w:tcPr>
            <w:tcW w:w="884"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8880" w:type="dxa"/>
            <w:tcBorders/>
            <w:vAlign w:val="center"/>
          </w:tcPr>
          <w:p>
            <w:pPr>
              <w:pStyle w:val="TableContents"/>
              <w:bidi w:val="0"/>
              <w:spacing w:before="0" w:after="0"/>
              <w:ind w:left="0" w:right="0" w:hanging="0"/>
              <w:jc w:val="left"/>
              <w:rPr/>
            </w:pPr>
            <w:hyperlink w:anchor="item16_summary">
              <w:r>
                <w:rPr>
                  <w:rStyle w:val="InternetLink"/>
                  <w:rFonts w:ascii="Times New Roman" w:hAnsi="Times New Roman"/>
                  <w:caps w:val="false"/>
                  <w:smallCaps w:val="false"/>
                  <w:sz w:val="20"/>
                  <w:u w:val="single"/>
                </w:rPr>
                <w:t>Form 10-K Summary</w:t>
              </w:r>
            </w:hyperlink>
          </w:p>
        </w:tc>
        <w:tc>
          <w:tcPr>
            <w:tcW w:w="441" w:type="dxa"/>
            <w:tcBorders/>
            <w:vAlign w:val="center"/>
          </w:tcPr>
          <w:p>
            <w:pPr>
              <w:pStyle w:val="TableContents"/>
              <w:bidi w:val="0"/>
              <w:spacing w:before="0" w:after="0"/>
              <w:ind w:left="0" w:right="0" w:hanging="0"/>
              <w:jc w:val="right"/>
              <w:rPr/>
            </w:pPr>
            <w:hyperlink w:anchor="item16_summary">
              <w:r>
                <w:rPr>
                  <w:rStyle w:val="InternetLink"/>
                  <w:rFonts w:ascii="Times New Roman" w:hAnsi="Times New Roman"/>
                  <w:caps w:val="false"/>
                  <w:smallCaps w:val="false"/>
                  <w:sz w:val="20"/>
                  <w:u w:val="single"/>
                </w:rPr>
                <w:t>36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 xml:space="preserve">PART 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on Form 10-K of Liquidmetal Technologies, Inc. contains “forward-looking statements” within the meaning of Section 27A of the Securities Act of 1933, as amended (the “Securities Act”), and Section 21E of the Exchange Act. These statements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 “plans,” “seeks,” and similar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this report entitled “Risk Factors” (Item 1A of this report) as well as the following risks and uncertainties:</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fund our operations in the long-term through financing transactions on terms acceptable to us, or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history of operating losses and the uncertainty surrounding our ability to achieve or sustain profitability;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history of developing and selling products made from our bulk amorphous alloys;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associated with having products manufactured from our alloys and the use of third parties for manufacturing;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history of licensing our technology to third parties;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Lengthy customer adoption cycles and unpredictable customer adoption practices;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develop, and commercialize new product applications for our technology;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current suppliers of incumbent materials or producers of competing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consummate, and/or integrate strategic partnerships;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for manufacturing problems or delays;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difficulties associated with protecting or expanding our intellectual property 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item1_business"/>
      <w:bookmarkEnd w:id="4"/>
      <w:r>
        <w:rPr>
          <w:rFonts w:ascii="Times New Roman" w:hAnsi="Times New Roman"/>
          <w:b/>
          <w:caps w:val="false"/>
          <w:smallCaps w:val="false"/>
          <w:sz w:val="20"/>
          <w:u w:val="single"/>
        </w:rPr>
        <w:t>Item</w:t>
      </w:r>
      <w:r>
        <w:rPr>
          <w:rFonts w:ascii="Times New Roman" w:hAnsi="Times New Roman"/>
          <w:caps w:val="false"/>
          <w:smallCaps w:val="false"/>
          <w:sz w:val="20"/>
          <w:u w:val="single"/>
        </w:rPr>
        <w:t> </w:t>
      </w:r>
      <w:r>
        <w:rPr>
          <w:rFonts w:ascii="Times New Roman" w:hAnsi="Times New Roman"/>
          <w:b/>
          <w:caps w:val="false"/>
          <w:smallCaps w:val="false"/>
          <w:sz w:val="20"/>
          <w:u w:val="single"/>
        </w:rPr>
        <w:t>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Annual Report on Form 10-K, unless the context indicates otherwise, references to “the Company”, “Liquidmetal Technologies”, “our Company”, “we”, “us”, and similar references refer to Liquidmetal Technologies,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materials technology and manufacturing company focused on the development and commercialization of products made from proprietary amorphous alloys and/or utilizing proprietary amorphous alloy manufacturing technologies. In addition to developing our own manufacturing facility through our subsidiary in China, we work with third-party manufacturing and commercial partners to develop and commercial products made from our proprietary amorphous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bulk amorphous alloy technology is a relatively new technology as compared to many other material technologies, such as plastics and widely-used high-performance crystalline alloys.  Historically, the successful commercialization of a new material technology has required the persistent improvement and refining of the technology over a sometimes lengthy period of time.  Accordingly, we believe that our Company’s future success will be dependent on our ability to continue expanding and improving our technology platform by, among other things, constantly refining and improving our processes, optimizing our existing amorphous alloy compositions for various applications, and developing and improving new bulk amorphous alloy compositions.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General Corporate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were originally incorporated in California in 1987, and we reincorporated in Delaware in May 2003.  Our principal executive office is located at 20321 Valencia Circle, Lake Forest, California 92630. Our telephone number at that address is (949) 635-2100. Our Internet website address is www.liquidmetal.com and all of our filings with the Securities and Exchange Commission (“SEC”) are available free of charge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Our Technology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processing, and potential cost advantages of Liquidmetal alloys are a function of their unique atomic structure and their proprietary material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Unique Atomic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atomic structure of Liquidmetal alloys is the fundamental feature that differentiates them from other alloys and metals. In the molten state, the atomic particles of all alloys and metals have an amorphous atomic structure, which means that the atomic particles appear in a completely random structure with no discernible patterns. However, when non-amorphous alloys and metals are cooled to a solid state, their atoms bond together in a repeating pattern of regular and predictable shapes or crystalline grains. This process is analogous to the way ice forms when water freezes and crystallizes. In non-amorphous metals and alloys, the individual crystalline grains contain naturally occurring structural defects that limit the potential strength and performance characteristics of the material. These defects, known as dislocations, consist of discontinuities or inconsistencies in the patterned atomic structure of each grain. Unlike other alloys and metals, bulk Liquidmetal alloys can retain their amorphous atomic structure throughout the solidification process and therefore do not develop crystalline grains and the associated dislocations. Consequently, bulk Liquidmetal alloys exhibit superior strength and other superior performance characteristics compared to their crystalline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1993, researchers at the California Institute of Technology (“Caltech”) developed the first commercially viable amorphous alloy in a bulk form. We obtained the exclusive right to commercialize the bulk amorphous alloy through a license agreement with Caltech and have developed the technology to enable the commercialization of bulk amorphous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Proprietary Material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constituent elements and percentage composition of Liquidmetal alloys are critical to their ability to solidify into an amorphous atomic structure. The raw materials that we use in Liquidmetal alloys are readily available and can be purchased from multiple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Advantages of Liquidmetal Alloys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alloys possess a unique combination of performance, processing, and potential cost advantages that we believe makes them superior in many ways to other commercially available materials for a variety of existing and potential future product applications. The unique combined performance and processing features result in  precise dimensional control and repeatability, surface finish, strength, hardness, elasticity, and corrosion resistance are uncommon in crystalline material alternatives. Additionally, the ability to leverage various molding processes and related tooling technologies provides the ability to deliver a broad range of material characteristics in a complex shaped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Performance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bulk Liquidmetal alloys provide several distinct performance advantages over other materials, and we believe that these advantages make the alloys desirable in applications that require high precision and repeatability, high yield strength, strength-to-weight ratio, elasticity, corrosion resistance and hardness.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Processing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processing of a material generally refers to how a material is shaped, formed, or combined with other materials to create a finished product. Bulk Liquidmetal alloys possess processing characteristics that we believe make them preferable to other materials in a wide variety of applications. In particular, our alloys are amenable to processing options that are similar in many respects to those associated with plastics. Additionally, unlike most metals and alloys, our bulk Liquidmetal alloys are capable of being thermoplastically molded in bulk form. Thermoplastic molding consists of heating a solid piece of material until it is transformed into a moldable state, although at temperatures much lower than the melting temperature, and then introducing it into a mold to form near-to-net shaped products. Accordingly, thermoplastic molding can be beneficial and economical for net-shape fabrication of high-strength products. Liquidmetal alloys also have superior net-shape casting capabilities as compared to high-strength crystalline metals and alloys.  “Net-shape casting” is a type of casting that permits the creation of near-to-net shaped products that reduce costly post-cast processing or machining.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alloys have the potential to provide cost advantages over other high-strength metals and alloys in certain applications. Because bulk Liquidmetal alloys have processing characteristics similar in some respects to plastics, which lend themselves to near-to-net shape molding, Liquidmetal alloys can in many cases be shaped efficiently into intricate, engineered products. This capability can eliminate or reduce certain post-molding steps, such as machining and re-forming, and therefore has the potential to significantly reduce processing costs associated with making parts in high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key elements of our strategy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Focusing Our Marketing Activities on Select Products with Optimized Gross-Margins. </w:t>
            </w:r>
            <w:r>
              <w:rPr>
                <w:rFonts w:ascii="Times New Roman;Times;serif" w:hAnsi="Times New Roman;Times;serif"/>
                <w:caps w:val="false"/>
                <w:smallCaps w:val="false"/>
                <w:sz w:val="20"/>
              </w:rPr>
              <w:t>We have focused and continue to focus our marketing activities on select products with optimized gross margins for the long term.  This strategy is designed to align our product development initiatives with our processes and cost structure, and to reduce our exposure to more commodity-type product applications that are prone to unpredictable demand and fluctuating pricing.  Our focus is primarily on products that possess design features that take advantage of our physical properties and manufacturing advantages of our technology and that command a price commensurate with the performance advantages of our alloys.  In addition, we will continue to engage in prototype manufacturing for products that will ultimately be licensed to or manufactured by third-parties.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Pursuing Strategic Partnerships in Order to More Rapidly Develop and Commercialize Products</w:t>
            </w:r>
            <w:r>
              <w:rPr>
                <w:rFonts w:ascii="Times New Roman;Times;serif" w:hAnsi="Times New Roman;Times;serif"/>
                <w:caps w:val="false"/>
                <w:smallCaps w:val="false"/>
                <w:sz w:val="20"/>
              </w:rPr>
              <w:t>. We have and continue to actively pursue and support strategic partnerships that will enable us to leverage the resources, strength, and technologies of other companies in order to more rapidly develop and commercialize products.  These partnerships may include licensing transactions in which we license full commercial rights to our technology in a specific application area, or they may include transactions of a more limited scope in which, for example, we outsource manufacturing activities or grant limited licensing rights.  We believe that utilizing such a partnering strategy will enable us to reduce our working capital burden, better fund product development efforts, better understand customer adoption practices, leverage the technical and financial resources of our partners, and more effectively handle product design and process challenges. </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Advancing the Liquidmetal</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Brand</w:t>
            </w:r>
            <w:r>
              <w:rPr>
                <w:rFonts w:ascii="Times New Roman;Times;serif" w:hAnsi="Times New Roman;Times;serif"/>
                <w:caps w:val="false"/>
                <w:smallCaps w:val="false"/>
                <w:sz w:val="20"/>
              </w:rPr>
              <w:t>. We believe that building our corporate brand will foster continued adoption of our technology. Our goal is to position Liquidmetal alloys as a superior substitute for materials currently used in a variety of products across a range of industries. Furthermore, we seek to establish Liquidmetal alloys as an enabling technology that will facilitate the creation of a broad range of commercially viable new products. To enhance industry awareness of our company and increase demand for Liquidmetal alloys, we are engaged in various brand development strategies that could include collaborative advertising and promotional campaigns with select customers, industry conference and trade show appearances, public relations, and other means.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Applications for Liquidmetal Alloys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a very broad number of markets where Liquidmetal alloys have application opportunities. Some of the more prominent markets include: humanoid robots, medical/ dental, automotive, non-consumer electronics, and sporting equipment. We believe that these areas are consistent with our strategy in terms of market size, building brand recognition, and providing an opportunity to develop and refine our processing capabilities. Although we believe that strategic partnership transactions could also create valuable opportunities beyond the parameters of these target markets, we anticipate continuing to pursue these markets both internally and in conjunction with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Humanoid Robots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engaged in product development efforts relating to various humanoid robot components that could be made from bulk Liquidmetal alloys. We believe that the unique properties of bulk Liquidmetal alloys provide the combination of long-lasting surface finish, corrosion resistance, strength, and precision required by most robotic applications. The potential value offered by our alloys is higher performance in some cases and cost reduction in others, the latter stemming from the ability of Liquidmetal alloys to be net shape molded into components, thus reducing costs of secondary processing common with existing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Medical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engaged in product development efforts relating to various medical devices that could be made from bulk Liquidmetal alloys. We believe that the unique properties of bulk Liquidmetal alloys provide a combination of performance and cost benefits that could make them a desirable replacement for incumbent materials, such as machined stainless steel and titanium, or components made from other more traditional metalworking technologies currently used in various medical device applications.  Our ongoing emphasis has been on minimally invasive surgical instrument applications for Liquidmetal alloys. These include, but are not limited to, specialized blades, clamps, tissue suturing components, tissue manipulation devices and orthopedic instruments utilized for implant surgery procedures, dental devices, and general surgery devices. The potential value offered by our alloys is higher performance in some cases and cost reduction in others, the latter stemming from the ability of Liquidmetal alloys to be net shape molded into components, thus reducing costs of secondary processing common with other metalworking processes. The status of most components in the prototyping phase is subject to non-disclosure agreements with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Automotive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engaged in product development efforts relating to various automotive components that could be made from bulk Liquidmetal alloys. We believe that the unique properties of bulk Liquidmetal alloys provide the combination of long-lasting surface finish, corrosion resistance, strength, and precision required by most automotive applications. The potential value offered by our alloys is higher performance in some cases and cost reduction in others, the latter stemming from the ability of Liquidmetal alloys to be net shape molded into components, thus reducing costs of secondary processing common with existing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Components for Non-Consumer Electronic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work with partners to design, develop and supply components for non-consumer electronic devices utilizing our bulk Liquidmetal alloys and believe that our alloys offer enhanced performance and design benefits for these components in certain applications.  Our strategic focus is primarily on parts that command a price commensurate with the performance advantages of our alloys. These product categories in the non-consumer electronics field include, but are not limited to, aerospace components, leisure products, and industrial machines. We believe that there are multiple applications and opportunities in the non-consumer electronics product category for us to produce parts that command the higher margin and premium prices consistent with our core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continued miniaturization of, and the introduction of advanced features to non-consumer electronic devices is a primary driver of growth, market share, and profits in our industry. The high strength-to-weight ratio and elastic limit, along with the processing advantages of bulk Liquidmetal alloys enable the production of smaller, thinner, but stronger electronic parts. We also believe that the strength characteristics of our alloys could facilitate the creation of a new generation of non-consumer electronic devices which currently may not be viable because of strength limitations of conventional metal parts in the marketplace today. Lastly, we believe that our alloys offer style and design flexibility, such as shiny metallic finishes, to accommodate the changing tastes of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Inc. (“Apple”) pursuant to which, for a one-time, upfront license fee, we granted to Apple a perpetual, worldwide, fully-paid, exclusive license to commercialize our intellectual property in the field of “consumer electronic” products, as defined in the license agreement. We continue to work with Apple to develop and advance research and development in the amorphous alloy space to benefit both consumer and non-consumer electronics fields. For more information regarding our transaction with Apple, see “ – Licensing Transactions”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Sporting Goods and Leisure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developing a variety of applications for Liquidmetal alloys in the sporting goods and leisure products area.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sporting goods industry, we believe that the high strength, hardness, corrosion resistance, and elasticity of our bulk alloys have the potential to enhance performance in a variety of products including, but not limited to, golf clubs, tennis rackets, archery, sporting arms and scuba equipment. We further believe that many sporting goods products are conducive to our strategy of focusing on high-margin products that meet our design criteria.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leisure products category, we believe that bulk Liquidmetal alloys can be used to efficiently produce intricately engineered designs with high-quality finishes, such as premium watchcases and knives. We further believe that Liquidmetal technology can be used to make high-quality, high-strength jewelry from precious metals.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Licensing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in connection with the 2016 Purchase Agreement (defined below), we entered into a Parallel License Agreement (the “License Agreement”) with DongGuan Eontec Co., Ltd., a Hong Kong corporation (“Eontec”) pursuant to which we each entered into a cross-license of our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and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exclusive license to commercialize such intellectual property in the field of consumer electronic products, as defined in the license agreement, in exchange for a one-time, upfront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agreements relating to the license transaction with Apple, we were obligated to contribute to CIP all intellectual property developed by us through February 2016. We are also obligated to maintain certain limited liability company formalities with respect to CIP at all times after the closing of the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as against all third parties (including us), but non-exclusive as to Apple. We will receive royalty payments over the life of the contract on all Liquidmetal products produced and sold by Swatch. The license agreement with Swatch will expire on the expiration date of the last-to-expire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Liquidmetal Golf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(see below)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initial a term of three years and has been extended for another three year term that provides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intellectual property consists of patents, trade secrets, know-how, and trademarks. Protection of our intellectual property is a strategic priority for our business, and we intend to vigorously protect our patents and other intellectual property. Our intellectual property portfolio includes more than 34 owned or licensed U.S. patents relating to the composition, processing, and application of our alloys, as well as more than 89 foreign counterpart patents and patent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initial bulk amorphous alloy technology was developed by researchers at Caltech. We have acquired patent rights that provide us with the exclusive right to commercialize amorphous alloys and other amorphous alloy technology developed at Caltech through a license agreement (“Caltech License Agreement”) with Caltech. In addition to the patents and patent applications that we license from Caltech, we are building a portfolio of our own patents to expand and enhance our technology position. These patents and patent applications primarily relate to various applications of our bulk amorphous alloys and the processing of our alloys. The patents expire on various dates between 2026 and 2040. Our policy is to seek patent protection for all technology, inventions, and improvements that are of commercial importance to the development of our business, except to the extent that we believe it is advisable to maintain such technology or invention as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protect the confidentiality of our technology, including trade secrets, know-how, and other proprietary technical and business information, we require that all of our employees, consultants, advisors and collaborators enter into confidentiality agreements that prohibit the use or disclosure of information that is deemed confidential. The agreements also obligate our employees, consultants, advisors and collaborators to assign to us developments, discoveries and inventions made by such persons in connection with their work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Research and Development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engaged in limited research and development programs that were driven by the following key objectives: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Enhance Material Processing and Manufacturing Efficiencies.</w:t>
            </w:r>
            <w:r>
              <w:rPr>
                <w:rFonts w:ascii="Times New Roman;Times;serif" w:hAnsi="Times New Roman;Times;serif"/>
                <w:caps w:val="false"/>
                <w:smallCaps w:val="false"/>
                <w:sz w:val="20"/>
              </w:rPr>
              <w:t> We are working with our strategic partners to enhance material processing and manufacturing efficiencies. We plan to continue research and development of processes and compositions that will decrease our cost of making products from Liquidmetal alloys.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Develop New Applications.</w:t>
            </w:r>
            <w:r>
              <w:rPr>
                <w:rFonts w:ascii="Times New Roman;Times;serif" w:hAnsi="Times New Roman;Times;serif"/>
                <w:caps w:val="false"/>
                <w:smallCaps w:val="false"/>
                <w:sz w:val="20"/>
              </w:rPr>
              <w:t> We will continue the research and development of new applications for Liquidmetal alloys. We believe the range of potential applications will broaden as we expand the forms, compositions, and methods of processing of our alloys.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our internal research and development efforts, we enter into cooperative research and development relationships with leading academic institutions.  We have entered into development relationships with other companies for the purpose of identifying new applications for our alloys and establishing customer relationships with such companies. Some of our product development programs are partially funded by our customers. We are also engaged in negotiations with other potential customers regarding possible product development relationships. Our research and development expenses for the years ended December 31, 2025 and 2024 were $14 and $19,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Raw Materials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alloy compositions are comprised of many elements, many of which are generally available commodity products. While we believe that each of these raw materials is readily available in sufficient quantities from multiple sources on commercially acceptable terms, we continue to seek opportunities to secure stocks of essential elements in advance to manage lead-times and cost. Due to our inherent dependency on these alloy compositions for the manufacture of Liquidmetal products, any substantial increase in the price or interruption in the supply of these materials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Manufacturing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current manufacturing strategy is to have in-house manufacturing operations and to also seek to partner with global companies that are contract manufacturers and alloy producers. We seek third party companies with proven track records of success who can gain specialized skills and knowledge of our alloys through close collaborations with our team of engineers. We believe that in addition to having our own manufacturing operations, partnering with global companies will allow us to forgo the capital intensive requirements of large scale manufacturing facilities and allow us to grow the number of applications for the technology much faster than could be accomplished on our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2022, Liquidmetal Technologies entered into a manufacturing agreement (“Manufacturing Agreement”) with Dongguan Yihao Metal Materials Technology Co. Ltd. (“Yihao”) to become an outsourced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Liquidmetal Asia Holdings Limited (“Liquidmetal Asia”), a Hong Kong incorporated wholly owned subsidiary of the Company,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will be owned 70% by Liquidmetal Asia and 30% by Mr. Liu and will be capitalized with $6.0 million USD of initial capital, of which $4.2 million has been contributed by Liquidmetal Asia, and $1.8 million will be contributed by Mr. Liu on or before May 25, 2028. We currently anticipate that the Joint Venture Company will have full manufacturing capabilities in 2026. The Joint Venture Company and Shareholders Agreement will have an initial term of fifty years, provided that either Shareholder may terminate the Shareholders Agreement and Joint Venture Company earlier under certain circumstances, including if the Joint Venture Company experiences a net loss for three consecutive years or if the other Shareholder attempts to assign its interest in the Joint Venture Company in violation of the terms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Customers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we had three major customers which together accounted for 86% of our revenue. During 2024, we had three major customers which together accounted for 91% of our revenue. As of December 31, 2025, one customer represented 60%, or $54,280 of the total outstanding trade accounts receivable. As of December 31, 2024, one customer represented 83%, or $73,600 of the total outstanding trade accounts receivable. In the future, we expect that a significant portion of our revenue may continue to be concentrated in a limited number of customers, even if our bulk alloys business grows.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Competition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bulk Liquidmetal alloys face competition from other materials, including metals, alloys, plastics and composites, which are currently used in the commercial applications that we pursue. For example, we face significant competition from plastics, zinc and stainless steel in our non-consumer electronics components business, and titanium and composites will continue to be used widely in medical devices and sporting goods. Many of these competitive materials are produced by domestic and international companies that have substantially greater financial and other resources than we do. Based on our experience developing products for a variety of customers, we believe that the selection of materials by potential customers will continue to be product-specific in nature, with the decision for each product being driven primarily by the performance needs of the application and, secondarily, by cost considerations and design flexibility. Because of the relatively high strength of our alloys, dimensional precision, and the design flexibility of our process, we are most competitive when the customer is seeking a higher strength, as well as greater design flexibility, than currently available with other materials. However, if currently available materials, such as plastics, are strong enough for the application, our alloys are often not competitive in those applications with respect to price. We also believe that our alloys are generally not competitive with the cost of some of the basic metals, such as steel, aluminum or copper, when such basic metals can be processed by simple traditional metalworking processes into shapes and components that are satisfactory for their intended applications. Our alloys are generally more competitive with respect to price compared to components machined from various metals, such as titanium, stainless steel and other higher performance crystalline metals. Our alloys could also face competition from new materials that may be developed in the future, including new materials that could render our alloys obsolete.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experience and will continue to experience indirect competition from the competitors of our customers. Because we rely on our customers to market and sell finished goods that incorporate our components or products, our success will depend in part on the ability of our customers to effectively market and sell their own products and compete in their respective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Backlog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minimal lead-time associated with orders of bulk alloy parts, we generally do not carry a significant backlog. The backlog as of any particular date gives no indication of actual sales for any succeeding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Sales and Marketing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direct our marketing efforts towards customers that will incorporate our components and products into their finished goods. Our goal is to educate customers on the benefits of our technology and help them gain adequate knowledge to apply the technology to their upcoming product application designs. To that end, we have business development personnel who, in conjunction with engineers and scientists, will actively identify potential customers that may be able to benefit from the introduction of Liquidmetal alloys to their products. We currently have 4 full-time individuals engaged in our internal sales, business development and marketing activities. In addition, we work closely with a team of more than 10 external sales representatives covering the territories of North America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we had 7 full-time employees and 2 part-time consultants for our U.S. corporate office, and 3 full-time employees in our manufacturing operations in China. As of that date, none of our employees or consultants were represented by a labor union.  We have not experienced any work stoppages, and we consider our employee and consultant relations to be favorable. We endeavor to maintain a workplace that is free from discrimination or harassment on the basis of color, race, sex, national origin, ethnicity, religion, age, disability, sexual orientation, gender identification or expression or any other status protected by applicable law. The basis for recruitment, hiring, development, training, compensation and advancement is a person’s qualifications, performance, skills and experience. We believe that our employees are fairly compensated, without regard to gender, race and ethnicity, and routinely recognized for outstanding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Governmental Regulation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regulation of our products will depend on the nature and type of product and the jurisdictions in which the products are sold. For example, medical instruments incorporating our Liquidmetal alloys will be subject to regulation in the United States by the Food and Drug Administration (“FDA”) and corresponding state and foreign regulatory agencies. Medical device manufacturers to whom we intend to sell our products may need to obtain FDA approval before marketing their medical devices that incorporate our products and may need to obtain similar approvals before marketing these medical device products in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Environmental Law Compliance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operations are subject to national, state, and local environmental laws in the United States. We believe that we are in material compliance with all applicable environmental regulations. While we continue to incur costs to comply with environmental regulations, we do not believe that such costs will have a material effect on our capital expenditures, earnings, or competitive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Liquidmetal Golf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January 1, 2002 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We own 79% of the outstanding common stock in Liquidmetal Golf.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5" w:name="item1a_riskfactors"/>
      <w:bookmarkEnd w:id="5"/>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Investing in our securities involves a high degree of risk. The risks described below are not the only ones facing us. Additional risks not currently known to us or that we currently believe are immaterial also may impair our business, operations, liquidity and stock price materially and adversely. You should carefully consider the risks and uncertainties described below in addition to the other information included or incorporated by reference in this Annual Report on Form 10-K. If any of the following risks actually occur, our business, financial condition or results of operations would likely suffer. In that case, the trading price of our common stock could fall and you could lose all or part of your investment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 Related to Our Company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have incurred significant operating losses in the past and may not be able to achieve or sustain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significant cumulative operating losses since our inception. Our operating loss for the years ended December 31, 2025 and 2024 were $3,742 and $3,313, respectively. We had an accumulated deficit of approximately $280,594 at December 31, 2025, and approximately $278,253 at December 31, 2024. We anticipate that we may continue to incur operating losses for the foreseeable future. Consequently, it is possible that we may never achieve positive earnings and, if we do achieve positive earnings, we may not be able to achieve them on a sustainable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 have a limited history of developing and selling products made from our bulk amorphous alloys.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relatively limited history of producing bulk amorphous alloy components and products on a mass-production scale.  Furthermore, our suppliers’ ability to produce our products in desired quantities and at commercially reasonable prices is uncertain and is dependent on a variety of factors that are outside of its control, including the nature and design of the component, the customer’s specifications, and required delivery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rely on assumptions about the markets for our products and components that, if incorrect, may adversely affect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made assumptions regarding the market size for, and the manufacturing requirements of, our products and components based in part on information we received from third parties and also from our limited history. If these assumptions prove to be incorrect, we may not achieve anticipated market penetration, revenue targets or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Our historical results of operations may not be indicative of our future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our limited history of developing and marketing bulk amorphous alloy components and products, as well as our new manufacturing strategy of partnering with contract manufacturers and alloy producers, our historical results of operations may not be indicative of our future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primarily rely on limited suppliers for mold making, manufacturing and alloying of our bulk amorphous alloys and 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have one supplier located in China who fulfills the alloying, mold making and manufacturing of our bulk amorphous alloy parts. Our supplier may allocate its limited capacity to fulfill the production requirements of its other customers. In the event of a disruption of the operations of our supplier related to limited capacity, as well as other geo-political issues, including changes in diplomatic and trade relationships, and the impositions of tariffs, sanctions, duties, exchange controls or other trade restrictions, we may not have other manufacturing sources immediately available. Such events could cause significant delays in shipments and may adversely affect our revenue, cost of goods sold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current anticipation that the Joint Venture Company will have full manufacturing capabilities in 2026 could be incorrect and may adversely affect our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development of our Joint Venture Company manufacturing facility in Hangzhou, China is subject to a variety of risks, including delays in obtaining necessary permits and approvals, unforeseen engineering or environmental problems, geo-political issues, changes in Chinese laws, regulations, or government policies affecting foreign investment, labor disputes, shortages of materials and skilled labor, cost overruns, failure of our joint venture partner to make required capital contributions, and other factors beyond our control. In the event of a delay in the development of the manufacturing facility, or if the development is unsuccessful, we may not achieve our anticipated manufacturing capabilities in 2026, which could impair our ability to meet customer demand and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 Related to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If we cannot establish and maintain relationships with customers that incorporate our components and products into their finished goods, we will not be able to increase our revenue and commercialize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based upon the commercialization of new and unique materials technology. Our ability to increase our revenues will depend on our ability to successfully maintain and establish relationships with customers who are willing to incorporate our proprietary alloys and technology into their finished products. However, we believe that the size of our company and the novel nature of our technology and manufacturing process may continue to make it challenging to maintain and establish such relationships. In addition, we rely and will continue to rely to a large extent on the manufacturing, research, and development capabilities, as well as the marketing and distribution capabilities, of our customers in order to commercialize our products. Our future growth and success will depend in large part on our ability to enter into these relationships and the subsequent success of these relationships. Even if our products are selected for use in a customer’s products, we still may not realize significant revenue from that customer if that customer’s products are not commercially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 may take significant time and cost for us to develop new customer relationships, which may delay our ability to generate additional revenue or achieve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generate revenue from new customers is generally affected by the amount of time it takes for us to, among other things: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a potential customer and introduce the customer to Liquidmetal alloys;</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60"/>
        <w:gridCol w:w="170"/>
        <w:gridCol w:w="7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work with the customer to select and design the parts to be fabricated from Liquidmetal alloys;</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make the molds and tooling to be used to produce the selected part;</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make prototypes and samples for customer testing;</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work with our customers to test and analyze prototypes and samples; and</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70"/>
        <w:gridCol w:w="7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some types of products, such as medical devices, obtain regulatory approvals.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average sales cycle (the time we deliver a proposal to a customer until the time our customer fully integrates our Liquidmetal alloys into its product) could be a significant period of time. Our history to date has demonstrated that the sales cycle could extend beyond one year. The time it takes to transition a customer from limited production to full-scale production runs will depend upon the nature of the processes and products into which our Liquidmetal alloys are integrated.  Moreover, we have found that customers often proceed very cautiously and slowly before incorporating a fundamentally new and unique type of material into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After we develop a customer relationship, it may take a significant amount of time for that customer to develop, manufacture, and sell finished goods that incorporate our components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experience has shown that our customers will perform numerous tests and extensively evaluate our components and products before incorporating them into their finished products. The time required for testing, evaluating, and designing our components and products into a customer’s products, and in some cases, obtaining regulatory approval, can be significant, with an additional period of time before a customer commences volume production of products incorporating our components and products, if ever. Moreover, because of this lengthy development cycle, we may experience a delay between the time we accrue expenses for research and development and sales and marketing efforts and the time when we generate revenue, if any. We may incur substantial costs in an attempt to transition a customer from initial testing to prototype and from prototype to final product. If we are unable to minimize these transition costs, or to recover the costs of these transitions from our customers, our operating results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limited number of our customers generate a significant portion of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near future, we expect that a significant portion of our revenue may be concentrated in a limited number of customers. A reduction, delay, or cancellation of orders from one or more of these customers or the loss of one or more customer relationships could significantly reduce our revenue and harm our business. Unless we establish long-term sales arrangements with these customers, they will have the ability to reduce or discontinue their purchases of our products on short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expect to rely on our customers and licensees to market and sell finished goods that incorporate our products and components, a process over which we will have little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revenue growth and ultimate profitability will depend in part on the ability of our customers and licensees to successfully market and sell their finished goods that incorporate our products. We may have little control over our customers’ and licensees’ marketing and sales efforts. These marketing and sales efforts may be unsuccessful for various reasons, any of which could hinder our ability to increase revenue or achieve profitability. For example, our customers may not have or devote sufficient resources to develop, market, and sell their finished goods that incorporate our products. Because we typically will not have exclusive sales arrangements with our customers, they will not be precluded from exploring and adopting competing technologies. Also, products incorporating competing technologies may be more successful for reasons unrelated to the performance of Liquidmetal products or the marketing efforts of our customers and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 Related to Technological and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growth depends on our ability to identify, develop, and commercialize new applications for 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growth and success will depend in part on our ability to identify, develop, and commercialize, either alone or in conjunction with our customers and partners, new applications and uses for Liquidmetal alloys. If we are unable to identify and develop new applications, we may be unable to develop new products or generate additional revenue. Successful development of new applications for our products may require additional investment, including costs associated with research and development and the identification of new customers. In addition, difficulties in developing and achieving market acceptance of new products would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may not be able to effectively compete with current suppliers of incumbent materials or producers of competing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future growth and success of our Liquidmetal alloy business will depend in part on our ability to establish and retain a technological advantage over other materials for our targeted applications. For many of our targeted applications, we will compete with manufacturers of similar products that use different materials many of which have substantially greater financial and other resources than we do. These different materials may include plastics, zinc, titanium alloys, metal injection molding, or stainless steel, among others, and we will compete directly with suppliers of the incumbent material. In addition, in each of our targeted markets, our success will depend in part on the ability of our customers to compete successfully in their respective markets. Thus, even if we are successful in replacing an incumbent material in a finished product, we will remain subject to the risk that our customer will not compete successfully in its own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bulk amorphous alloy technology is still at an early stage of commercialization relative to many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bulk amorphous alloy technology is a relatively new technology as compared to many other material technologies, such as plastics and widely-used high-performance crystalline alloys.  Historically, the successful commercialization of a new material technology has required the persistent improvement and refining of the technology over a sometimes lengthy period of time.  Accordingly, we believe that our company’s future success will be dependent on our ability to continue expanding and improving our technology platform by, among other things, constantly refining and improving our processes, optimizing our existing amorphous alloy compositions for various applications, and developing and improving new bulk amorphous alloy compositions.  Our failure to further expand our technology base could limit our growth opportunities and hamper our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Future advances in materials science could render Liquidmetal alloys obsolete.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Academic institutions and business enterprises frequently engage in the research and testing of new materials, including alloys and plastics. Advances in materials science could lead to new materials that have a more favorable combination of performance, processing, and cost characteristics than our alloys. The future development of any such new materials could render our alloys obsolete and unmarketable or may impair our ability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Human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growth depends upon our ability to retain and attract a sufficient number of qualified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based upon the commercialization of a new and unique materials technology. Our future growth and success will depend in part on our ability to retain key members of our management and engineering staff, who are familiar with this technology and the potential applications and markets for it. We do not have “key man” or similar insurance on any of the key members of our management and engineering staff. If we lose their services or the services of other key personnel, our financial results or business prospects may be harmed. Additionally, our future growth and success will depend in part on our ability to attract, train, and retain scientific engineering, manufacturing, sales, marketing, and management personnel. We cannot be certain that we will be able to attract and retain the personnel necessary to manage our operations effectively. Competition for experienced executives and engineers from numerous companies and academic and other research institutions may limit our ability to hire or retain personnel on acceptable terms. In addition, many of the companies with which we compete for experienced personnel have greater financial and other resources than we do. Moreover, the employment of otherwise highly qualified non-U.S. citizens may be restricted by applicable immigration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may not be able to successfully identify, consummate, integrate, or derive benefit from strategic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business strategy, we intend to pursue strategic partnering transactions that provide access to new technologies, products, markets, and manufacturing capabilities. These transactions could include licensing agreements, joint ventures, or business combinations. We believe that these transactions will be particularly important to our future growth and success due to the size and resources of our company and the novel nature of our technology. For example, we may determine that we may need to license our technology to a larger manufacturer in order to penetrate a particular market. In addition, we may pursue transactions that will give us access to new technologies that are useful in connection with the composition, processing, or application of Liquidmetal alloys. We may not be able to successfully identify any potential strategic partnerships. Even if we do identify one or more potentially beneficial strategic partners, we may not be able to consummate transactions with these strategic partners on favorable terms or obtain the benefits we anticipate from such a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Global Business, Litigation, Laws and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may derive some portion of our revenue from sales outside the United States, which may expose the Company to foreign commerce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sell a portion of our products to customers outside of the United States, and our operations and revenue may be subject to risks associated with foreign commerce, including transportation delays and foreign tax and legal compliance. Moreover, customers may sell finished goods that incorporate our components and products outside of the United States, which indirectly expose us to additional foreign commerce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U.S. and foreign government administrative policy, including the imposition of or increases in tariffs and changes to existing trade agreements could have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United States has imposed tariffs on certain items imported from various countries where we currently sell or in the past sold our products. Since January 2025, the Trump Administration has significantly expanded and modified these tariff policies, creating an evolving landscape of trade restrictions and uncertainty. As a result of changes to U.S. and foreign government administrative policy, there may be changes to existing trade agreements, greater restrictions on free trade generally, the imposition of or significant increases in tariffs on goods imported into the U.S., including tariffs on products manufactured in China, and adverse responses by foreign governments to U.S. trade policies, among other possible changes. A trade war, other governmental action related to tariffs or trade agreements, changes in U.S. social, political, regulatory and economic conditions or in laws and policies governing foreign trade, manufacturing, development and investment in the territories and countries where we currently purchase, manufacture and sell products, and any resulting negative sentiments towards the U.S. as a result of such changes, could have a material adverse effect on our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substantial increase in the price or interruption in the supply of raw materials for our alloys could have an adverse effect on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proprietary alloy compositions are comprised of many elements, all of which are generally available commodity products. Although we believe that each of these raw materials is currently readily available in sufficient quantities from multiple sources on commercially acceptable terms, if the prices of these materials substantially increase or there is an interruption in the supply of these materials, such increase or interruption could adversely affect our profitability. For example, if the price of one of the elements included in our alloys substantially increases, we may not be able to pass the price increase on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business could be subject to the potentially adverse consequences of exchange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to conduct business in various foreign currencies and will be exposed to market risk from changes in foreign currency exchange rates and interest rates. Fluctuations in exchange rates between the U.S. dollar and such foreign currencies may have a material adverse effect on our business, results of operations, and financial condition and could specifically result in foreign exchange gains and losses. The impact of future exchange rate fluctuations on our operations cannot be accurately predicted. To the extent that the percentage of our non-U.S. dollar revenue derived from international sales increases in the future, our exposure to risks associated with fluctuations in foreign exchange rates will increase further.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inability to protect our licenses, patents, trademarks, and proprietary rights in the United States and foreign countries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own several patents relating to amorphous alloy technology, and we have other rights to amorphous alloy patents through an exclusive license from Caltech.  Our success depends in part on our ability to obtain and maintain patent and other proprietary right protection for our technologies and products in the United States and other countries. If we are unable to obtain or maintain these protections, we may not be able to prevent third parties from using our proprietary rights. Specifically, we must: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protect and enforce our owned and licensed patents and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exploit our owned and licensed patented technology;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operate our business without infringing on the intellectual property rights of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licensed technology is comprised of several issued United States patents covering the composition, method of manufacturing, and application and use of the family of Liquidmetal alloys. We also hold several United States and corresponding foreign patents covering the manufacturing processes of Liquidmetal alloys and their use. Those patents have expiration dates between 2025 and 2040. The laws of some foreign countries do not protect proprietary rights to the same extent as the laws of the United States, and we may encounter significant problems and costs in protecting our proprietary rights in these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2010, we entered into a license transaction with Apple pursuant to which (i) we contributed substantially all of our intellectual property assets to a special-purpose, wholly-owned subsidiary, Crucible Intellectual Property (“CIP”), (ii) CIP granted to Apple a perpetual, worldwide, fully-paid, exclusive license to commercialize such intellectual property in the field of consumer electronic products, as defined in the license agreement,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 law is still evolving relative to the scope and enforceability of claims in the fields in which we operate. Our patent protection involves complex legal and technical questions. Our patents and those patents for which we have license rights may be challenged, narrowed, invalidated, or circumvented. We may be able to protect our proprietary rights from infringement by third parties only to the extent that our proprietary technologies are covered by valid and enforceable patents or are effectively maintained as trade secrets. Furthermore, others may independently develop similar or alternative technologies or design around our patented technologies. Litigation or other proceedings to defend or enforce our intellectual property rights could require us to spend significant time and money and could otherwise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companies or individuals may claim that we infringe their intellectual property rights, which could cause us to incur significant expenses or prevent us from selling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depends, in part, on our ability to operate without infringing on valid, enforceable patents or proprietary rights of third parties and without breaching any licenses that may relate to our technologies and products. Future patents issued to third parties may contain claims that conflict with our patents and that compete with our products and technologies, and third parties could assert infringement claims against us. Any litigation or interference proceedings, regardless of their outcome, may be costly and may require significant time and attention from our management and technical personnel. Litigation or interference proceedings could also force us to:</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70"/>
        <w:gridCol w:w="2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stop or delay using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stop or delay our customers from selling, manufacturing or using products that incorporate the challenged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damages; or</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enter into licensing or royalty agreements that may be unavailable on acceptable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Evolving regulation of corporate governance and public disclosure may result in additional expenses and continuing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Changing laws, regulations and standards relating to corporate governance and public disclosure, including the SEC XBRL mandate, new SEC regulations and International Financial Reporting Standards (“IFRS”), are creating uncertainty for public companies. As a result of these new rules and the size and limited resources of our company, we will incur additional costs associated with our public company reporting requirements, and we may not be able to comply with some of these new rules. In addition, these new rules could make it more difficult or more costly for us to obtain certain types of insurance, including director and officer liability insurance, and this could make it difficult for us to attract and retain qualified persons to serve on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presently evaluating and monitoring developments with respect to new and proposed rules and cannot predict or estimate the amount of the additional costs we may incur or the timing of such costs. These new or changed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committed to maintaining high standards of corporate governance and public disclosure. As a result, we intend to invest resources to comply with evolving laws, regulations, and standards, and this investment may result in increased general and administrative expenses and a diversion of management time and attention from revenue-generating activities to compliance activities.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time and cost associated with complying with government regulations to which we could become subject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the applications for our Liquidmetal alloys that we have identified or may identify in the future may be subject to government regulations. For example, any medical devices made from our alloys likely will be subject to extensive government regulation in the United States by the FDA. Any medical device manufacturers to whom we sell Liquidmetal alloy products may need to comply with FDA requirements, including premarket approval or clearance under Section 510(k) of the Food Drug and Cosmetic Act, before marketing Liquidmetal alloy medical device products in the United States. These medical device manufacturers may be required to obtain similar approvals before marketing these medical devices in foreign countries. Any medical device manufacturers with which we jointly develop and sell medical device products may not provide significant assistance to us in obtaining required regulatory approvals. The process of obtaining and maintaining required FDA and foreign regulatory approvals could be lengthy, expensive, and uncertain. Additionally, regulatory agencies can delay or prevent product introductions. The failure to comply with applicable regulatory requirements can result in substantial fines, civil and criminal penalties, stop sale orders, loss or denial of approvals, recalls of products, and product seizures.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products have the potential for dual use, such as military and non-military applications, they may be subject to import and export restrictions of the U.S. government, as well as other countries. The process of obtaining any required U.S. or foreign licenses or approvals could be time-consuming, costly, and uncertain. Failure to comply with import and export regulatory requirements can lead to substantial fines, civil and criminal penalties, and the loss of government contracting and export privileges.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 Related to Stock Ownership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existence of minority shareholders in our Liquidmetal Golf subsidiary creates potential for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directly own 79% of the outstanding capital stock of Liquidmetal Golf, our subsidiary that has the exclusive right to commercialize our technology in the golf market.  The remaining 21% of the Liquidmetal Golf stock is owned by approximately 95 shareholders of record. As a result, conflicts of interest may develop between us and the minority shareholders of Liquidmetal Golf. To the extent that our officers and directors are also officers or directors of Liquidmetal Golf, matters may arise that place the fiduciary duties of these individuals in conflicting positions.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executive officers, directors and insiders and entities affiliated with them hold a significant percentage of our common stock, and these shareholders may take actions that may be adverse to your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our executive officers, directors and insiders and entities affiliated with them, in the aggregate, beneficially owned approximately 26.3% of our common stock. As a result, these shareholders, acting together, will be able to significantly influence all matters requiring shareholder approval, including the election and removal of directors and approval of significant corporate transactions such as mergers, consolidations and sales of assets. They also could dictate the management of our business and affairs. This concentration of ownership could have the effect of delaying, deferring or preventing a change in control or impeding a merger or consolidation, takeover or other business combination, which could cause the market price of our common stock to fall or prevent you from receiving a premium in such a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stock price has experienced volatility and may continue to experience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the highest bid price for our common stock was $0.16 per share, while the lowest bid price during that period was $0.04 per share.  The trading price of our common stock could continue to fluctuate widely due to:</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limited current liquidity and the possible need to raise additional capital;</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quarter-to-quarter variations in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potential competitors;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or our failure to meet the expectations of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new products offered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60"/>
        <w:gridCol w:w="170"/>
        <w:gridCol w:w="5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strategic relationships or strategic partnerships;</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70"/>
        <w:gridCol w:w="7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sales of common stock, or securities convertible into or exercisable for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judgments or settlements obligating us to pay damages;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issuances of common stock in connection with acquisitions or other transactions;</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170"/>
        <w:gridCol w:w="3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acts of war, terrorism, or natural disasters;</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low trading volume in our stock;</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relating to patents or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regulatory changes; or</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60"/>
        <w:gridCol w:w="170"/>
        <w:gridCol w:w="4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events or factors that may be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securities markets in general have experienced extreme price and trading volume volatility in the past. The trading prices of securities of many companies at our stage of growth have fluctuated broadly, often for reasons unrelated to the operating performance of the specific companies. These general market and industry factors may adversely affect the trading price of our common stock, regardless of our actual operating performance.  If our stock price is volatile, we could face securities class action litigation, which could result in substantial costs and a diversion of management’s attention and resources and could cause our stock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Future sales of our common stock could depress our stock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a large number of shares of our common stock, or the availability of a large number of shares for sale, could adversely affect the market price of our common stock and could impair our ability to raise funds in additional stock offerings. In the event that we propose to register additional shares of common stock under the Securities Act of 1933 for our own account, certain shareholders are entitled to receive notice of that registration and to include their shares in the registration, subject to limitations described in the agreements granting these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limited public trading market exists for our common stock, which makes it more difficult for our shareholders to sell their common stock in the public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currently traded under the symbol “LQMT” and currently trades at a low volume, based on quotations on the “Over-the-Counter” exchanges, meaning that the number of persons interested in purchasing our common stock at or near bid prices at any given time may be relatively small or non-existent. This situation is attributable to a number of factors, including the fact that we are a small company which is still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stock until such time as we became more viable. Additionally, many brokerage firms may not be willing to effect transactions in our securities. As a consequence, there may be periods of several days or more when trading activity in our stock is minimal or non-existent,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develop or be sustained, or that trading levels will be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have never paid dividends on our common stock, and we do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paid no cash dividends on our common stock to date. We currently intend to retain our future earnings, if any, to fund the development and growth of our businesses, and we do not anticipate paying any cash dividends on our capital stock for the foreseeable future. In addition, the terms of existing or any future debts may preclude us from paying dividends on our stock. As a result, capital appreciation, if any, of our common stock will be the sole source of gain for the foreseeable future for our common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FINRA sales practice requirements may also limit a shareholder</w:t>
      </w:r>
      <w:r>
        <w:rPr>
          <w:rFonts w:ascii="Times New Roman" w:hAnsi="Times New Roman"/>
          <w:caps w:val="false"/>
          <w:smallCaps w:val="false"/>
          <w:sz w:val="20"/>
        </w:rPr>
        <w:t>’</w:t>
      </w:r>
      <w:r>
        <w:rPr>
          <w:rFonts w:ascii="Times New Roman" w:hAnsi="Times New Roman"/>
          <w:b/>
          <w:caps w:val="false"/>
          <w:smallCaps w:val="false"/>
          <w:sz w:val="20"/>
        </w:rPr>
        <w:t>s ability to buy and sell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Industry Regulatory Authority (“FINRA”) has adopted rules that require a broker-dealer to have reasonable grounds for believing that an investment is suitable for a customer prior to recommending the investment to such customer. Prior to recommending speculative low 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 priced securities will not be suitable for at least some customers. The FINRA requirements make it more difficult for broker-dealers to recommend that their customers buy our common stock, which may limit your ability to buy and sell our stock and have an adverse effect on the market for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Antitakeover provisions of our certificate of incorporation and bylaws and provisions of applicable corporate law could delay or prevent a change of control that you may favor.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Provisions in our certificate of incorporation, our bylaws, and Delaware law could make it more difficult for a third party to acquire us, even if doing so would be beneficial to our shareholders. These provisions could discourage potential takeover attempts and could adversely affect the market price of our shares. Because of these provisions, you might not be able to receive a premium on your investment in such a transaction. These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 our board of directors, without shareholder approval, to issue up to 10,000,000 shares of “blank check” preferred stock that could be issued by our board of directors to increase the number of outstanding shares and prevent a takeover attempt;</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limit shareholders’ ability to call a special meeting of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advance notice requirements to nominate directors for election to our board of directors or to propose matters that can be acted on by shareholders at shareholder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provisions described above, as well as other provisions in our certificate of incorporation, our bylaws, and Delaware law could delay or make more difficult transactions involving a change in control of us or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rely extensively on information technology in our operations, and any material failure, inadequacy, interruption, or security breach of that technology could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extensively on information technology systems across our operations, including reporting results of operations, collection and storage of personal data of customers, employees and other stakeholders, and various other processes and transactions. Some of these systems are managed by third-party service providers. We use third-party technology and systems for a variety of reasons, including, without limitation, encryption and authentication technology, employee email, content delivery to customers, back-office support, and other functions. Failure to follow applicable regulations related to those activities, or to prevent or mitigate data loss or other security breaches, including breaches of our business partners’ technology and systems could expose us and/or our customers and vendors to a risk of loss or misuse of such information, which could adversely affect our operating results, result in regulatory enforcement, other litigation and potential liability, and otherwise harm our business. Our ability to effectively manage our business and coordinate the production, distribution, and sale of our products depends significantly on the reliability and capacity of these systems and third-party service providers. Although we have developed systems and processes that are designed to protect customer information and prevent data loss and other security breaches, including systems and processes designed to reduce the impact of a security breach at a third-party service provider, such measures cannot provide absolute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exposure to similar security risks faced by other companies that have data stored on their information technology systems. To our knowledge, we have not experienced any material breach of our cybersecurity systems. If we or our third-party service providers systems fail to operate effectively or are damaged, destroyed, or shut down, or there are problems with transitioning to upgraded or replacement systems, or there are security breaches in these systems, we could experience delays or decreases in product sales, and reduced efficiency of our operations. Any of the aforementioned could occur as a result of natural disasters, software or equipment failures, telecommunications failures, loss or theft of equipment, acts of terrorism, circumvention of security systems, or other cyber-attacks, including denial-of-service attacks. Additionally, any of these events could lead to violations of privacy laws, loss of customers, or loss, misappropriation or corruption of confidential information, trade secrets or data, which could expose us to potential litigation, regulatory actions, sanctions or other statutory penalties, any or all of which could adversely affect its business, and cause it to incur significant losses and remediation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 will rely on the manufacturing operations of a third party controlled by our largest stockholder and Chairman, which presents a potential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rely on Yihao to manufacture our products. Yihao is an affiliate of Dongguan Eontec Co. Ltd. and Professor Li our Chairman and is indirectly controlled by Professor Li. Professor Li, through his affiliates, is the largest beneficial owner of our common stock and owns approximately 24.7% of our common stock and is able to exercise significant influence over all matters affecting us, including the election of directors, formation and execution of business strategy and approval of mergers, acquisitions and other significant corporate transactions, which may have an adverse effect on our stock price and ability to execute our strategic initiatives. As a result of this significant ownership and his affiliation with Yihao, as well as the future importance of Yihao as a manufacturer of the Company’s products, Professor Li may have conflicts of interest and interests that are not aligned with those of other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6" w:name="item1b_unresolved"/>
      <w:bookmarkEnd w:id="6"/>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7" w:name="item1c_cybersecurity"/>
      <w:bookmarkEnd w:id="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xml:space="preserve">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design and assess our program based on the National Institute of Standards and Technology Cybersecurity Framework, or NIST CSF. This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imply that we meet any particular technical standards, specifications, or requirements, only that we use the NIST CSF as a guide to help us identify, assess, and manage cybersecurity risks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cybersecurity risk management program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 assessments designed to help identify material cybersecurity risks to our critical systems, information, products, services, and our broader enterprise IT environment;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an information technology team principally responsible for managing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our cybersecurity risk assessment processes,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our security controls, and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our response to cybersecurity incidents;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use of external service providers, where appropriate, to assess, test or otherwise assist with aspects of our security controls;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cybersecurity awareness training of our employees, incident response personnel, and senior management;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cybersecurity incident response plan that includes procedures for responding to cybersecurity incidents.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not identified cybersecurity threats that have materially affected or are reasonably likely to materially affect us, including our operations, business strategy, results of operations, or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considers cybersecurity risk as part of its risk oversight function and oversees management’s implementation of our cybersecurity risk management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receives periodic reports from management on our cybersecurity risks. In addition, management updates the Board, as necessary, regarding any material cybersecurity incidents, as well as any incidents with lesser impact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team, including the Chief Executive Officer and President, is responsible for assessing and managing our material risks from cybersecurity threats. The team has primary responsibility for our overall cybersecurity risk management program and supervises our retained external cybersecurity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Our management team supervises efforts to prevent, detect, mitigate, and remediate cybersecurity risks and incidents through various means, which may include briefings from information technology personnel;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8" w:name="item2_properties"/>
      <w:bookmarkEnd w:id="8"/>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corporate office, consisting of approximately 41,000 square feet of warehouse and office space, is located in Lake Forest, California. We purchased the facility in February of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23, 2020, we entered into a lease agreement pursuant to which we leased approximately 32,534 square foot portion of the facility to a commercial tenant. The lease term is for 5 years and 2 months commencing on March 1, 2020. The base rent payable under the Lease Agreement is $32,534 per month initially and is subject to periodic increases up to a maximum of approximately $54,000 per month. The tenant will pay approximately 79% of common operating expresses.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26, 2025, we entered into a new lease agreement (the “Facility Lease”) for a 5 year term commencing on May 1, 2025 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item3_legal"/>
      <w:bookmarkEnd w:id="9"/>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0" w:name="item4_minesafetly"/>
      <w:bookmarkEnd w:id="1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 w:name="part2"/>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5_market"/>
      <w:bookmarkEnd w:id="12"/>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Shareholder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currently quoted on the “OTCQB Venture Marketplace” under the symbol “LQMT.” On December 31, 2025, the last reported sales price of our common stock was $0.10 per share. As of December 31, 2025, we had 174 active record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on a per share basis, the range of high and low bid information for the shares of our common stock for each full quarterly period within the two most recent fiscal years and any subsequent interim period for which financial statements are included, as reported by the “OTCQB Venture Marketplace.” These quotations reflect inter-dealer prices, without retail mark-up, mark-down or commission and may not necessarily represent actual transactions.</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265"/>
        <w:gridCol w:w="60"/>
        <w:gridCol w:w="125"/>
        <w:gridCol w:w="380"/>
        <w:gridCol w:w="60"/>
        <w:gridCol w:w="60"/>
        <w:gridCol w:w="125"/>
        <w:gridCol w:w="380"/>
        <w:gridCol w:w="60"/>
      </w:tblGrid>
      <w:tr>
        <w:trPr/>
        <w:tc>
          <w:tcPr>
            <w:tcW w:w="12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c>
          <w:tcPr>
            <w:tcW w:w="5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Low</w:t>
            </w:r>
          </w:p>
        </w:tc>
        <w:tc>
          <w:tcPr>
            <w:tcW w:w="6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Fourth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265"/>
        <w:gridCol w:w="60"/>
        <w:gridCol w:w="125"/>
        <w:gridCol w:w="380"/>
        <w:gridCol w:w="60"/>
        <w:gridCol w:w="60"/>
        <w:gridCol w:w="125"/>
        <w:gridCol w:w="380"/>
        <w:gridCol w:w="60"/>
      </w:tblGrid>
      <w:tr>
        <w:trPr/>
        <w:tc>
          <w:tcPr>
            <w:tcW w:w="12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ind w:left="0" w:right="0" w:hanging="0"/>
              <w:jc w:val="left"/>
              <w:rPr/>
            </w:pPr>
            <w:r>
              <w:rPr/>
              <w:t> </w:t>
            </w:r>
          </w:p>
        </w:tc>
        <w:tc>
          <w:tcPr>
            <w:tcW w:w="5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Low</w:t>
            </w:r>
          </w:p>
        </w:tc>
        <w:tc>
          <w:tcPr>
            <w:tcW w:w="6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Fourth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paid a cash dividend on our common stock. We do not anticipate paying any cash dividends on our common stock in the foreseeable future, and we plan to retain our earnings to finance our operations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6_reserved"/>
      <w:bookmarkEnd w:id="13"/>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item7_mda"/>
      <w:bookmarkEnd w:id="14"/>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should be read in conjunction with the consolidated financial statements and notes included elsewhere in this report on Form</w:t>
      </w:r>
      <w:r>
        <w:rPr>
          <w:rFonts w:ascii="Times New Roman" w:hAnsi="Times New Roman"/>
          <w:caps w:val="false"/>
          <w:smallCaps w:val="false"/>
          <w:sz w:val="20"/>
        </w:rPr>
        <w:t xml:space="preserve"> </w:t>
      </w:r>
      <w:r>
        <w:rPr>
          <w:rFonts w:ascii="Times New Roman" w:hAnsi="Times New Roman"/>
          <w:i/>
          <w:caps w:val="false"/>
          <w:smallCaps w:val="false"/>
          <w:sz w:val="20"/>
        </w:rPr>
        <w:t>10-K. All amounts described in this section are in thousands, except percentages, periods of time, and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as well as other sections of this report on Form</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10-K, may contain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under the caption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Item</w:t>
      </w:r>
      <w:r>
        <w:rPr>
          <w:rFonts w:ascii="Times New Roman" w:hAnsi="Times New Roman"/>
          <w:caps w:val="false"/>
          <w:smallCaps w:val="false"/>
          <w:sz w:val="20"/>
        </w:rPr>
        <w:t xml:space="preserve"> </w:t>
      </w:r>
      <w:r>
        <w:rPr>
          <w:rFonts w:ascii="Times New Roman" w:hAnsi="Times New Roman"/>
          <w:i/>
          <w:caps w:val="false"/>
          <w:smallCaps w:val="false"/>
          <w:sz w:val="20"/>
        </w:rPr>
        <w:t>1A of this report and other risks and uncertainties discussed in filings made with the Securities and Exchange Commission (including risks described in subsequent reports on Form</w:t>
      </w:r>
      <w:r>
        <w:rPr>
          <w:rFonts w:ascii="Times New Roman" w:hAnsi="Times New Roman"/>
          <w:caps w:val="false"/>
          <w:smallCaps w:val="false"/>
          <w:sz w:val="20"/>
        </w:rPr>
        <w:t xml:space="preserve"> </w:t>
      </w:r>
      <w:r>
        <w:rPr>
          <w:rFonts w:ascii="Times New Roman" w:hAnsi="Times New Roman"/>
          <w:i/>
          <w:caps w:val="false"/>
          <w:smallCaps w:val="false"/>
          <w:sz w:val="20"/>
        </w:rPr>
        <w:t>10-Q, Form</w:t>
      </w:r>
      <w:r>
        <w:rPr>
          <w:rFonts w:ascii="Times New Roman" w:hAnsi="Times New Roman"/>
          <w:caps w:val="false"/>
          <w:smallCaps w:val="false"/>
          <w:sz w:val="20"/>
        </w:rPr>
        <w:t xml:space="preserve"> </w:t>
      </w:r>
      <w:r>
        <w:rPr>
          <w:rFonts w:ascii="Times New Roman" w:hAnsi="Times New Roman"/>
          <w:i/>
          <w:caps w:val="false"/>
          <w:smallCaps w:val="false"/>
          <w:sz w:val="20"/>
        </w:rPr>
        <w:t>10-K, Form</w:t>
      </w:r>
      <w:r>
        <w:rPr>
          <w:rFonts w:ascii="Times New Roman" w:hAnsi="Times New Roman"/>
          <w:caps w:val="false"/>
          <w:smallCaps w:val="false"/>
          <w:sz w:val="20"/>
        </w:rPr>
        <w:t xml:space="preserve"> </w:t>
      </w:r>
      <w:r>
        <w:rPr>
          <w:rFonts w:ascii="Times New Roman" w:hAnsi="Times New Roman"/>
          <w:i/>
          <w:caps w:val="false"/>
          <w:smallCaps w:val="false"/>
          <w:sz w:val="20"/>
        </w:rPr>
        <w:t>8-K, and other filings). Liquidmetal Technologies, Inc. disclaims any intention or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materials technology and manufacturing company focused on the development and commercialization of products made from proprietary amorphous alloys and/or utilizing proprietary amorphous alloy manufacturing technologies. In addition to developing our own manufacturing facility through our subsidiary in China, we work with third-party manufacturing and commercial partners to develop and commercial products made from our proprietary amorphous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Hangzhou Feifeng Liquidmetal Co., Ltd. Joint Venture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Liquidmetal Asia Holdings Limited (“Liquidmetal Asia”), a Hong Kong incorporated wholly owned subsidiary,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will be owned 70% by Liquidmetal Asia and 30% by Mr. Liu and will be capitalized with $6.0 million USD of initial capital, of which $4,200 has been contributed by Liquidmetal Asia, and $1,800 will be contributed by Mr. Liu on or before May 25, 2028. This Joint Venture Company will have full manufacturing capabilities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2022, Liquidmetal Technologies entered into a manufacturing agreement (“Manufacturing Agreement”) with Dongguan Yihao Metal Materials Technology Co. Ltd. (“Yihao”) to become an outsourced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Liquidmetal Golf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original term of three years and has been extended for an additional three year term that provides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16, 2017, we purchased a 41,000 square foot facility (the “Facility”) located in Lake Forest, CA, where operations commenced during July 2017. 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23, 2020, 20321 Valencia, LLC, a Delaware limited liability company and our wholly owned subsidiary, entered into a lease agreement pursuant to which we leased to MatterHackers, Inc., a Delaware corporation (“Tenant”), an approximately 32,534 square foot portion of the Facility. The lease term was for 5 years and 2 months and expired on April 30, 2025. The base rent payable under the lease was $33 per month initially and was subject to periodic increases up to a maximum of approximately $54 per month. Tenant paid approximately 79% of common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26, 2025, we entered into a new lease agreement (the “Facility Lease”) for a 5 year term commencing on May 1, 2025 and expanded the leased square footage to 40,090 square feet. The base rent payable under the Facility Lease is $52 per month initially and is subject to periodic increases up to a maximum of approximately $58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2016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226,572,262 shares of our common stock owned by the Investor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shares issuable under the 2016 Purchase Agreement, we issued to the Investor a warrant to acquire 10,066,809 shares of common stock. The warrant expired on 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in connection with the 2016 Purchase Agreement, we entered into a Parallel License Agreement (the “License Agreement”) with DongGuan Eontec Co., Ltd., a Hong Kong corporation (“Eontec”) pursuant to which we each entered into a cross-license of our respective technologies. Our Chairman, Professor Li, is also the Chairman of Eontec.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agreements relating to the license transaction with Apple, we were obligated to contribute to CIP all intellectual property that we developed through February 2016. We are also obligated to maintain certain limited liability company formalities with respect to CIP at all times after the closing of the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Liquidmetal Golf License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(“Liquidmetal Golf” or “LMG”)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our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0"/>
        <w:gridCol w:w="60"/>
        <w:gridCol w:w="129"/>
        <w:gridCol w:w="566"/>
        <w:gridCol w:w="80"/>
        <w:gridCol w:w="60"/>
        <w:gridCol w:w="73"/>
        <w:gridCol w:w="667"/>
        <w:gridCol w:w="185"/>
        <w:gridCol w:w="60"/>
        <w:gridCol w:w="129"/>
        <w:gridCol w:w="566"/>
        <w:gridCol w:w="80"/>
        <w:gridCol w:w="60"/>
        <w:gridCol w:w="73"/>
        <w:gridCol w:w="667"/>
        <w:gridCol w:w="185"/>
        <w:gridCol w:w="60"/>
        <w:gridCol w:w="167"/>
        <w:gridCol w:w="528"/>
        <w:gridCol w:w="80"/>
        <w:gridCol w:w="60"/>
        <w:gridCol w:w="79"/>
        <w:gridCol w:w="586"/>
        <w:gridCol w:w="18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w:t>
            </w:r>
          </w:p>
        </w:tc>
        <w:tc>
          <w:tcPr>
            <w:tcW w:w="18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w:t>
      </w:r>
      <w:r>
        <w:rPr>
          <w:rFonts w:ascii="Times New Roman" w:hAnsi="Times New Roman"/>
          <w:caps w:val="false"/>
          <w:smallCaps w:val="false"/>
          <w:sz w:val="20"/>
        </w:rPr>
        <w:t xml:space="preserve"> </w:t>
      </w:r>
      <w:r>
        <w:rPr>
          <w:rFonts w:ascii="Times New Roman" w:hAnsi="Times New Roman"/>
          <w:b/>
          <w:i/>
          <w:caps w:val="false"/>
          <w:smallCaps w:val="false"/>
          <w:sz w:val="20"/>
        </w:rPr>
        <w:t>Year Ended December 31, 2025 Compared to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xml:space="preserve"> Total revenue decreased by $76 to $784 for the year ended December 31, 2025 from $860 for the year ended December 31, 2024. The decrease was attributable to a decrease in product shipments primarily related to our health monitoring rings and medical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sales</w:t>
      </w:r>
      <w:r>
        <w:rPr>
          <w:rFonts w:ascii="Times New Roman" w:hAnsi="Times New Roman"/>
          <w:caps w:val="false"/>
          <w:smallCaps w:val="false"/>
          <w:sz w:val="20"/>
        </w:rPr>
        <w:t>. Cost of sales was $554, or 70.7% of total revenue, for the year ended December 31, 2025, as compared to $643, or 74.8% of total revenue, for the year ended December 31, 2024. Our cost of sales percentages have fluctuated and may continue to fluctuate based on production volumes and quoted production prices per unit and may not be representative of our future business.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Gross profit. </w:t>
      </w:r>
      <w:r>
        <w:rPr>
          <w:rFonts w:ascii="Times New Roman" w:hAnsi="Times New Roman"/>
          <w:caps w:val="false"/>
          <w:smallCaps w:val="false"/>
          <w:sz w:val="20"/>
        </w:rPr>
        <w:t>Our gross profit increased by $13 from $217 for the year ended December 31, 2024 to $230 for the year ended December 31, 2025. Our gross margin percentage increased from 25.2% for the year ended December 31, 2024 to 29.3% for the year ended December 31, 2025. Our gross profit percentages have fluctuated and may continue to fluctuate based on production volumes and quoted production prices per unit and may not be representative of our future business. Once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Selling, marketing, general, and administrative expenses</w:t>
      </w:r>
      <w:r>
        <w:rPr>
          <w:rFonts w:ascii="Times New Roman" w:hAnsi="Times New Roman"/>
          <w:caps w:val="false"/>
          <w:smallCaps w:val="false"/>
          <w:sz w:val="20"/>
        </w:rPr>
        <w:t>. Selling, marketing, general, and administrative expenses increased by $447 to $3,958, or 504.8% of revenue, for the year ended December 31, 2025 from $3,511, or 408.3% of revenue, for the year ended December 31, 2024. The increase in expenses was primarily attributable to increase in travel, legal expenses, and joint venture startup costs in 2025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Research and development expenses decreased by $5 to $14, or 1.8% of revenue, for the year ended December 31, 2025, from $19, or 2.2% of revenue, for the year ended December 31, 2024. The decrease in expense was mainly due to reductions in employee compensation and associated development initiatives from headcount reductions. Going forward, we will continue to perform research and development of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Operating loss. </w:t>
      </w:r>
      <w:r>
        <w:rPr>
          <w:rFonts w:ascii="Times New Roman" w:hAnsi="Times New Roman"/>
          <w:caps w:val="false"/>
          <w:smallCaps w:val="false"/>
          <w:sz w:val="20"/>
        </w:rPr>
        <w:t>Operating loss increased by $429 from $3,313 for the year ended December 31, 2024 to $3,742 for the year ended December 31, 2025. Fluctuations in our operating loss are primarily attributable to variations in operating expenses,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Investment income. </w:t>
      </w:r>
      <w:r>
        <w:rPr>
          <w:rFonts w:ascii="Times New Roman" w:hAnsi="Times New Roman"/>
          <w:caps w:val="false"/>
          <w:smallCaps w:val="false"/>
          <w:sz w:val="20"/>
        </w:rPr>
        <w:t>Investment income relates to realized gains earned from our investments in debt securities for the respective periods. Investment income was $102 and $266 for the years ended December 31, 2025 and 2024, respectively. The decrease during 2025 is primarily due to lower overall trading on debt securities as a result of withdrawals from debt securities to fund our new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Interest income. </w:t>
      </w:r>
      <w:r>
        <w:rPr>
          <w:rFonts w:ascii="Times New Roman" w:hAnsi="Times New Roman"/>
          <w:caps w:val="false"/>
          <w:smallCaps w:val="false"/>
          <w:sz w:val="20"/>
        </w:rPr>
        <w:t>Interest income relates to interest earned from our cash deposits and investments in debt securities for the respective periods. Interest income was $649 and $870 for the years ended December 31, 2025 and 2024, respectively. The decrease during 2025 is primarily due to lower overall yields on debt securities as a result of withdrawals from debt securities to fund our new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Lease income. </w:t>
      </w:r>
      <w:r>
        <w:rPr>
          <w:rFonts w:ascii="Times New Roman" w:hAnsi="Times New Roman"/>
          <w:caps w:val="false"/>
          <w:smallCaps w:val="false"/>
          <w:sz w:val="20"/>
        </w:rPr>
        <w:t>Lease income relates to straight-line rental income received under the Facility Lease. Such amounts were $641 and $355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loss. </w:t>
      </w:r>
      <w:r>
        <w:rPr>
          <w:rFonts w:ascii="Times New Roman" w:hAnsi="Times New Roman"/>
          <w:caps w:val="false"/>
          <w:smallCaps w:val="false"/>
          <w:sz w:val="20"/>
        </w:rPr>
        <w:t>Our annual net losses of $2,342 for the year ended December 31, 2025 and $1,511 for the year ended December 31, 2024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totaled $2,752 for the year ended December 31, 2025 and $1,157 for the year ended December 31, 2024. The cash was primarily used to fund operating and capital expenses related to our new joint venture manufacturing operations as well as business and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provided by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investing activities totaled $3,905 for the year ended December 31, 2025 and cash used in investing activities totaled $1,674 for the year ended December 31, 2024. Cash used in investing activities primarily consists of purchases and sales of debt securities in line with our investment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Financing arrangements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relatively limited history of selling bulk amorphous alloy products and components on a mass-production scale. Furthermore, the ability of contract manufacturers to produce the Company’s products in desired quantities and at commercially reasonable prices is uncertain and is dependent on a variety of factors that are outside of the Company’s control, including the nature and design of the component, the customer’s specifications, and required delivery timelines. These factors have previously required that the Company engage in equity sales under various stock purchase agreements to support its operations and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as of December 31, 2025, the Company had $7,164 in cash, as well as $12,523 in investments in debt securities. The Company views this total of $19,760 as readily available sources of liquidity in the event needed to advance the Company’s existing strategy, and/or pursue an alternative strategy. As such, the Company anticipates that its current capital resources, when considering expected losses from operations, will be sufficient to fund the Company’s operations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our Company, or that engages in leasing, hedging, or research and development arrangements with our Company. As of December 31, 2025, the Company did not have any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recognize revenue pursuant to applicable accounting standards including FASB ASC Topic 606 (“ASC 606”), Revenue from Contracts with Customers. ASC 606 summarizes certain points in applying generally accepted accounting principles to revenue recognition in financial statements and provides guidance on revenue recognition issues in the absence of authoritative literature addressing a specific arrangement or a specific industry.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revenue recognition policy complies with the requirements of ASC 606. As a majority of our sales revenue continues to be recognized when products are shipped, and there was no change in the recognition model historically applied to active license and royalty contracts under the new revenue standard, there was no adjustment to the opening balance of retained earnings. The impact to our results of operations is not material, on an on-going basis, because the analysis of our contracts under the new revenue standard supports a recognition model consistent with our previous revenue recognition model. Revenue on the majority of our contracts will continue to be recognized over time because of the continuous transfer of control to the customer.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Products Revenue</w:t>
            </w:r>
            <w:r>
              <w:rPr>
                <w:rFonts w:ascii="Times New Roman;Times;serif" w:hAnsi="Times New Roman;Times;serif"/>
                <w:caps w:val="false"/>
                <w:smallCaps w:val="false"/>
                <w:sz w:val="20"/>
              </w:rPr>
              <w:t>: Product revenues are primarily generated from the sale and prototyping of molds and bulk alloy products. Revenue is recognized when i) persuasive evidence of an arrangement exists, ii) delivery has occurred, iii) the sales price is fixed or determinable, iv) collection is probable and v) all obligations have been substantially performed pursuant to the terms of the arrangement. When we receive consideration, or such consideration is unconditionally due, from a customer prior to transferring goods or services to the customer under the terms of a sales contract, we record deferred revenue, which represents a contract liability. We will recognize deferred revenue as products revenue after it has transferred control of the goods or services to the customer and all revenue recognition criteria are met. Such amounts are not expected to be material on an ongoing basis.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Licensing and royalties</w:t>
            </w:r>
            <w:r>
              <w:rPr>
                <w:rFonts w:ascii="Times New Roman;Times;serif" w:hAnsi="Times New Roman;Times;serif"/>
                <w:caps w:val="false"/>
                <w:smallCaps w:val="false"/>
                <w:sz w:val="20"/>
              </w:rPr>
              <w:t>: License revenue arrangements in general provide for the grant of an exclusive or non-exclusive right to manufacture and/or sell products covered by patented technologies owned or controlled by us. The intellectual property rights granted may be perpetual in nature, extending until the expiration of the related patents, or can be granted for a defined period of time. Licensing revenues that are one-time fees upon the granting of the license are recognized when i) the license term begins in a manner consistent with the nature of the transaction and the earnings process is complete, ii) when collectability is reasonably assured or upon receipt of an upfront fee, and iii) when all other revenue recognition criteria have been met. Pursuant to the terms of these agreements, we have no further obligation with respect to the grant of the license. Licensing revenues that are related to royalties are recognized as the royalties are earned over the related period.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Practical Expedients and Exemptions</w:t>
            </w:r>
            <w:r>
              <w:rPr>
                <w:rFonts w:ascii="Times New Roman;Times;serif" w:hAnsi="Times New Roman;Times;serif"/>
                <w:caps w:val="false"/>
                <w:smallCaps w:val="false"/>
                <w:sz w:val="20"/>
              </w:rPr>
              <w:t>: We generally expense sales commissions when incurred because the amortization period would have been one year or less. These costs are recorded within selling, marketing, general and administrative expenses. We do not disclose the value of unsatisfied performance obligations for (i) contracts with an original expected length of one year or less and (ii) contracts for which we recognize revenue at the amount for which it has the right to invoice for services performed.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value our long-lived assets at the lower of cost or fair market value. We review long-lived assets to be held and used in operations for impairment whenever events or changes in circumstances indicate that the carrying value of an asset may be impaired. These evaluations may result from significant decreases in the overall market outlook for our technology or the market price of an asset, a significant adverse change in the extent or manner in which an asset is being used in its physical condition, a significant adverse change in legal factors or in the business climate that could affect the value of an asset, as well as economic or operational analyses. If we concludes that the carrying value of certain assets will not be recovered based on expected undiscounted future cash flows, an impairment write-down is recorded to reduce the assets to their estimated fair value. Fair value is determined via market, cost and income based valuation techniques, as appropriate. The fair value is measured on a nonrecurring basis using a combination of quoted prices for similar assets in active markets and other unobservable adjustments to historical cost (Level 3) inputs. No cash impairment charges were recorded for the years ended December 31, 2025 and December 31, 2024.</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record valuation allowances to reduce our deferred tax assets to the amounts deemed more likely than not of being realized. While we consider taxable income in assessing the need for a valuation allowance, in the event we determine we would be able to realize our deferred tax assets in the future in excess of the net recorded amount, an adjustment would be made and income increased in the period of such determination. Likewise, in the event we determine we would not be able to realize all or part of our deferred tax assets in the future, an adjustment would be made and charged to income in the period of such determination.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We account for share-based compensation in accordance with the fair value recognition provisions of FASB ASC Topic 718, </w:t>
            </w:r>
            <w:r>
              <w:rPr>
                <w:rFonts w:ascii="Times New Roman;Times;serif" w:hAnsi="Times New Roman;Times;serif"/>
                <w:i/>
                <w:caps w:val="false"/>
                <w:smallCaps w:val="false"/>
                <w:sz w:val="20"/>
              </w:rPr>
              <w:t>Share-based Payment</w:t>
            </w:r>
            <w:r>
              <w:rPr>
                <w:rFonts w:ascii="Times New Roman;Times;serif" w:hAnsi="Times New Roman;Times;serif"/>
                <w:caps w:val="false"/>
                <w:smallCaps w:val="false"/>
                <w:sz w:val="20"/>
              </w:rPr>
              <w:t>, which requires all share-based payments to employees, including grants of employee stock options, to be recognized in the consolidated financial statements based on their fair values. The fair value of stock options is calculated by using the Black-Scholes option pricing formula that requires estimates for expected volatility, expected dividends, the risk-free interest rate and the term of the option. If any of the assumptions used in the Black-Scholes model change significantly, share-based compensation expense may differ materially in the future from that recorded in the current period.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inventory is stated at the lower of cost or estimated net realizable value. The cost of inventories is determined on the basis of weighted-average cost. We perform an analysis of our inventory balances at least quarterly to determine if the carrying amount of inventories exceeds their net realizable value. The analysis of estimated net realizable value is based on customer orders, market trends and historical pricing. If the carrying amount exceeds the estimated net realizable value, the carrying amount is reduced to the estimated net realizable value.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invest excess funds in debt securities to maximize investment yield, while maintaining liquidity and minimizing credit risk. Debt securities are carried at fair value and consist primarily of investments in obligations of the United States Treasury, various U.S. and foreign corporations, and certificates of deposits. We classify our investments in debt securities as available-for-sale with all unrealized gains or losses included as part of other comprehensive income. We evaluate our debt securities with unrealized losses on a quarterly basis for potential other-than-temporary impairments in value. As a result of these assessments, we did not recognize any other-than-temporary impairment losses considered to be credit related for the years ended December 31, 2025 and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Financial Instruments-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2016, the FASB issued an accounting standards update which changes the methodology for measuring credit losses on financial instruments and the timing of when such losses are recorded. This update replaces the existing incurred loss impairment model with an expected loss model (referred to as the Current Expected Credit Loss model, or "CECL"). The standard update, and its related amendments, will become effective for the fiscal year beginning on January 1, 2023. The Company is in the process of assessing the impact of this standard update, and its related amendments, on its consolidated financial statements, but is not expecting it will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recent accounting pronouncements issued by the FASB (including its Emerging Issues Task Force), the AICPA and the SEC did not or are not believed by management to have a material impact on the Company's present or future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item7a_quanqual"/>
      <w:bookmarkEnd w:id="15"/>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item8_financials"/>
      <w:bookmarkEnd w:id="16"/>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8.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statements required by this item can be found beginning on page 45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7" w:name="item9_changes"/>
      <w:bookmarkEnd w:id="17"/>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9. Changes in and Disagreements with Accountants on Accounting and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item9a_controls"/>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Evaluation of Disclosure Controls and Procedures.</w:t>
      </w:r>
      <w:r>
        <w:rPr>
          <w:rFonts w:ascii="Times New Roman" w:hAnsi="Times New Roman"/>
          <w:caps w:val="false"/>
          <w:smallCaps w:val="false"/>
          <w:sz w:val="20"/>
        </w:rPr>
        <w:t xml:space="preserve"> Under the supervision and with the participation of our management, including our Chief Executive Officer (Principal Executive/Financial Officer), we conducted an evaluation of our disclosure controls and procedures (as defined in Rules 13a-15(e) and 15(d)-15(e) under the Securities Exchange Act of 1934, as amended (the “Exchange Act”)). Based on this evaluation, our Chief Executive Officer (Principal Executive/Financial Officer) concluded that our disclosure controls and procedures were effective as of December 31, 2025 (the end of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Changes in Internal Controls.</w:t>
      </w:r>
      <w:r>
        <w:rPr>
          <w:rFonts w:ascii="Times New Roman" w:hAnsi="Times New Roman"/>
          <w:caps w:val="false"/>
          <w:smallCaps w:val="false"/>
          <w:sz w:val="20"/>
        </w:rPr>
        <w:t xml:space="preserve"> There were no changes in our internal control over financial reporting (as that term is defined in Rules 13a-15(f) or 15d-15(f) under the Exchange Act) during the year ended December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Management</w:t>
      </w:r>
      <w:r>
        <w:rPr>
          <w:rFonts w:ascii="Times New Roman" w:hAnsi="Times New Roman"/>
          <w:caps w:val="false"/>
          <w:smallCaps w:val="false"/>
          <w:sz w:val="20"/>
        </w:rPr>
        <w:t>’</w:t>
      </w:r>
      <w:r>
        <w:rPr>
          <w:rFonts w:ascii="Times New Roman" w:hAnsi="Times New Roman"/>
          <w:caps w:val="false"/>
          <w:smallCaps w:val="false"/>
          <w:sz w:val="20"/>
          <w:u w:val="single"/>
        </w:rPr>
        <w:t>s Report on Internal Control over Financial Reporting.</w:t>
      </w:r>
      <w:r>
        <w:rPr>
          <w:rFonts w:ascii="Times New Roman" w:hAnsi="Times New Roman"/>
          <w:caps w:val="false"/>
          <w:smallCaps w:val="false"/>
          <w:sz w:val="20"/>
        </w:rPr>
        <w:t xml:space="preserve"> 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accounting principles generally accepted in the United States, and that the Company’s receipts and expenditures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required by Section 404 of the Sarbanes-Oxley Act of 2002 and the related rule of the SEC, management assessed the effectiveness of the Company’s internal control over financial reporting using the </w:t>
      </w:r>
      <w:r>
        <w:rPr>
          <w:rFonts w:ascii="Times New Roman" w:hAnsi="Times New Roman"/>
          <w:i/>
          <w:caps w:val="false"/>
          <w:smallCaps w:val="false"/>
          <w:sz w:val="20"/>
        </w:rPr>
        <w:t>Internal Control-Integrated Framework (2013)</w:t>
      </w:r>
      <w:r>
        <w:rPr>
          <w:rFonts w:ascii="Times New Roman" w:hAnsi="Times New Roman"/>
          <w:caps w:val="false"/>
          <w:smallCaps w:val="false"/>
          <w:sz w:val="20"/>
        </w:rPr>
        <w:t xml:space="preserve"> developed by the Committee of Sponsoring Organizations of the Treadway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this assessment, management concluded that the company’s internal control over financial reporting was effective as of December 31, 2025. Management has not identified any material weaknesses in the Company’s internal control over financial reporting as of December 31, 2025.</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item9b_other"/>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none of the Company's directors or officers adopted, modified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(each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 under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0" w:name="item9c_disclosure"/>
      <w:bookmarkEnd w:id="20"/>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1" w:name="part3"/>
      <w:bookmarkEnd w:id="21"/>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2" w:name="item10_directors"/>
      <w:bookmarkEnd w:id="22"/>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10. Directors, Executive Officers and 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Set forth below is a table identifying our directors and executive officers as of December 31, 2025:</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1460"/>
        <w:gridCol w:w="60"/>
        <w:gridCol w:w="395"/>
        <w:gridCol w:w="60"/>
        <w:gridCol w:w="2690"/>
      </w:tblGrid>
      <w:tr>
        <w:trPr/>
        <w:tc>
          <w:tcPr>
            <w:tcW w:w="14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Age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Lugee Li</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w:t>
            </w:r>
          </w:p>
        </w:tc>
        <w:tc>
          <w:tcPr>
            <w:tcW w:w="60" w:type="dxa"/>
            <w:tcBorders/>
            <w:shd w:fill="CCEEFF" w:val="clear"/>
            <w:vAlign w:val="center"/>
          </w:tcPr>
          <w:p>
            <w:pPr>
              <w:pStyle w:val="TableContents"/>
              <w:bidi w:val="0"/>
              <w:spacing w:before="0" w:after="283"/>
              <w:jc w:val="left"/>
              <w:rPr/>
            </w:pPr>
            <w:r>
              <w:rPr/>
              <w:t> </w:t>
            </w:r>
          </w:p>
        </w:tc>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c>
          <w:tcPr>
            <w:tcW w:w="60" w:type="dxa"/>
            <w:tcBorders/>
            <w:shd w:fill="CCEEFF" w:val="clear"/>
            <w:vAlign w:val="center"/>
          </w:tcPr>
          <w:p>
            <w:pPr>
              <w:pStyle w:val="TableContents"/>
              <w:bidi w:val="0"/>
              <w:spacing w:before="0" w:after="283"/>
              <w:jc w:val="left"/>
              <w:rPr/>
            </w:pPr>
            <w:r>
              <w:rPr/>
              <w:t> </w:t>
            </w:r>
          </w:p>
        </w:tc>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Director</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Isaac Bresnick</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tc>
        <w:tc>
          <w:tcPr>
            <w:tcW w:w="60" w:type="dxa"/>
            <w:tcBorders/>
            <w:shd w:fill="CCEEFF" w:val="clear"/>
            <w:vAlign w:val="center"/>
          </w:tcPr>
          <w:p>
            <w:pPr>
              <w:pStyle w:val="TableContents"/>
              <w:bidi w:val="0"/>
              <w:spacing w:before="0" w:after="283"/>
              <w:jc w:val="left"/>
              <w:rPr/>
            </w:pPr>
            <w:r>
              <w:rPr/>
              <w:t> </w:t>
            </w:r>
          </w:p>
        </w:tc>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Director</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Carrubba</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tc>
        <w:tc>
          <w:tcPr>
            <w:tcW w:w="60" w:type="dxa"/>
            <w:tcBorders/>
            <w:shd w:fill="CCEEFF" w:val="clear"/>
            <w:vAlign w:val="center"/>
          </w:tcPr>
          <w:p>
            <w:pPr>
              <w:pStyle w:val="TableContents"/>
              <w:bidi w:val="0"/>
              <w:spacing w:before="0" w:after="283"/>
              <w:jc w:val="left"/>
              <w:rPr/>
            </w:pPr>
            <w:r>
              <w:rPr/>
              <w:t> </w:t>
            </w:r>
          </w:p>
        </w:tc>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Professor Lugee Li (</w:t>
      </w:r>
      <w:r>
        <w:rPr>
          <w:rFonts w:ascii="Times New Roman" w:hAnsi="Times New Roman"/>
          <w:caps w:val="false"/>
          <w:smallCaps w:val="false"/>
          <w:sz w:val="20"/>
        </w:rPr>
        <w:t>“</w:t>
      </w:r>
      <w:r>
        <w:rPr>
          <w:rFonts w:ascii="Times New Roman" w:hAnsi="Times New Roman"/>
          <w:i/>
          <w:caps w:val="false"/>
          <w:smallCaps w:val="false"/>
          <w:sz w:val="20"/>
        </w:rPr>
        <w:t>Professor Li</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was elected by our board of directors to serve as our Chief Executive Officer in December 2016 and continued to serve in that capacity through July 2021. Pursuant to the terms of the 2016 Purchase Agreement, Professor Li was appointed as a member of our board of directors in March 2016 and became Chairman of our board of directors in October 2016. Professor Li is the founder, Chairman, and shareholder of DongGuan Eontec Co. Ltd. (“Eontec”), a Hong Kong company listed on the Shenzen Stock Exchange engaged in the production of precision die-cast products and the research and development of new materials. Professor Li founded Eontec in 1993 and has served as its Chairman since that date. At Eontec, Professor Li is responsible for strategic development and research and development. Professor Li is also the founder and sole shareholder of Leader Biomedical Limited, a Hong Kong company engaged in the supply of biomaterials and surgical implants. Professor Li serves as an analyst for the Institute of Metal Research at the Chinese Academy of Sciences and serves part-time as a professor at several universities in China. Professor Li owns Liquidmetal Technology Limited, a Hong Kong company and the Investor in our 2016 Purchase Agreement. Due to his decades of experience in our industry, as well as his academic credentials, we believe Professor Li is qualified to serve as one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Tony Chung</w:t>
      </w:r>
      <w:r>
        <w:rPr>
          <w:rFonts w:ascii="Times New Roman" w:hAnsi="Times New Roman"/>
          <w:caps w:val="false"/>
          <w:smallCaps w:val="false"/>
          <w:sz w:val="20"/>
        </w:rPr>
        <w:t xml:space="preserve"> was appointed as the Company’s Chief Executive Officer on July 6, 2021 and has served as a Director since August 2017. Mr. Chung had previously served as the Company’s Chief Financial Officer from December 2008 to August 2017. Prior to re-joining the Company as an executive, he was the Chief Financial Officer of Solarcity, currently a division of Tesla Inc., that provides advanced solar technology solutions. Mr. Chung also served as the Managing Director of Baypoint Ventures, a technology investment fund. Mr. Chung is an Attorney and received a B.S. degree in business from UC Berkeley and a J.D. Degree from PCU Law School. We believe that Mr. Chung’s business and financial experience, including within the technology industry and the Company specifically, qualifies him to serve as one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Isaac Bresnick </w:t>
      </w:r>
      <w:r>
        <w:rPr>
          <w:rFonts w:ascii="Times New Roman" w:hAnsi="Times New Roman"/>
          <w:caps w:val="false"/>
          <w:smallCaps w:val="false"/>
          <w:sz w:val="20"/>
        </w:rPr>
        <w:t>began serving as a Director in October 2016 and was appointed to the role of President on July 6, 2021. Prior to being appointed as President, he was the Executive Administrator of the Company since November 2016. From October 2014 to November 2016, Mr. Bresnick served as Legal and Regulatory Affairs Director for the Leader Biomedical Group, a private company based in Hong Kong and operating from Amsterdam, the Netherlands. At Leader Biomedical, Mr. Bresnick was responsible for the direction and management of legal affairs, regulatory affairs, quality control and quality assurance, as well as for advising executive management of affiliated companies. From July 2013 to October 2017, Mr. Bresnick served as Director of aap Joints GmbH, a private company in Berlin, Germany. From January 2013 through June 2013, Mr. Bresnick provided full-time consulting services to AAP Orthopedics Ltd., a BVI company. Mr. Bresnick is an Attorney and received his J.D. from the University of Connecticut School of Law in 2013, and his B.S. in Industrial Design from the University of Bridgeport in 2008. After completion of his undergraduate studies and continuing through his enrollment at the University of Connecticut, Mr. Bresnick worked as Senior Arrangements Designer for Electric Boat Corporation, a subsidiary of General Dynamics, from June 2008 to December 2012. Due to his executive management experience, we believe Mr. Bresnick is qualified to serve as one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Vincent Carrubba </w:t>
      </w:r>
      <w:r>
        <w:rPr>
          <w:rFonts w:ascii="Times New Roman" w:hAnsi="Times New Roman"/>
          <w:caps w:val="false"/>
          <w:smallCaps w:val="false"/>
          <w:sz w:val="20"/>
        </w:rPr>
        <w:t>began serving on our board of directors in October 2016. From September 2014 through the present, Mr. Carrubba has served as the CEO of Admiral Composite Technologies Inc. (“Admiral”). During his time at Admiral, Mr. Carrubba has helped to develop new technologies for environmentally responsible and innovative building materials which represent Admiral’s product lines. Mr. Carrubba has also served as Admiral’s Chairman since its inception in 2009. From September 2014 through the present, Mr. Carrubba has served as the CEO of Asia Sourcing &amp; Communications USA Inc. and he has served as its Chairman since its inception in 2013. From 2002 through August 2014, Mr. Carrubba served as the Director of research and development for Interdynamics Inc. and IDQ Holdings, where he was responsible for all research and development and quality control matters, including the management of engineering, legal, patenting, regulatory, insurance and consumer relations matters. From 1989 through 1992, Mr. Carrubba designed and installed the New York Stock Exchange telecommunications and information technology systems. Mr. Carrubba has held engineering and executive positions with Xerox, General Electric, Bristol-Meyers Squibb and AT&amp;T and he is the inventor of several patents related to telecommunications, professional tools and consumer products. Mr. Carrubba received a Bachelor of Arts degree in Engineering Science and a Bachelor of Science Degree in Mechanical Engineering from Columbia University’s School of Engineering and Applied Science (SEAS) in 1982. We believe Mr. Carrubba is qualified to serve as one of our directors because of his extensive experience in the technology industry, including his experience with major telecommunications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 of Exchange Act requires the Company’s directors and officers, and persons who own more than 10% of a registered class of the Company’s equity securities, to file initial reports of ownership and reports of changes in ownership with the SEC. Such persons also are required to furnish the Company with copies of all Section 16(a) reports they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solely on its review of the copies of such reports received by it with respect to fiscal year 2025 or written representations from certain reporting persons, the Company believes that all filing requirements applicable to its directors and officers and persons who own more than 10% of a registered class of the Company’s equity securities have been complied with, on a timely basis, for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Our board of directors has adopted a written Code of Ethics for Chief Executive Officer and Senior Financial and Accounting Officers that applies to our Principal Executive Officer, Principal Financial Officer, Principal Accounting Officer or Controller, or persons performing similar functions. A current copy of the code is filed as an exhibit to this report on Form 10-K and is also available on our website, </w:t>
      </w:r>
      <w:r>
        <w:rPr>
          <w:rFonts w:ascii="Times New Roman" w:hAnsi="Times New Roman"/>
          <w:caps w:val="false"/>
          <w:smallCaps w:val="false"/>
          <w:sz w:val="20"/>
          <w:u w:val="single"/>
        </w:rPr>
        <w:t>www.liquidmetal.com,</w:t>
      </w:r>
      <w:r>
        <w:rPr>
          <w:rFonts w:ascii="Times New Roman" w:hAnsi="Times New Roman"/>
          <w:caps w:val="false"/>
          <w:smallCaps w:val="false"/>
          <w:sz w:val="20"/>
        </w:rPr>
        <w:t xml:space="preserve"> in the “Investors” section. In addition, we intend to post on our website, </w:t>
      </w:r>
      <w:r>
        <w:rPr>
          <w:rFonts w:ascii="Times New Roman" w:hAnsi="Times New Roman"/>
          <w:caps w:val="false"/>
          <w:smallCaps w:val="false"/>
          <w:sz w:val="20"/>
          <w:u w:val="single"/>
        </w:rPr>
        <w:t>www.liquidmetal.com,</w:t>
      </w:r>
      <w:r>
        <w:rPr>
          <w:rFonts w:ascii="Times New Roman" w:hAnsi="Times New Roman"/>
          <w:caps w:val="false"/>
          <w:smallCaps w:val="false"/>
          <w:sz w:val="20"/>
        </w:rPr>
        <w:t xml:space="preserve"> all disclosures that are required by law concerning any amendments to, or waivers from, any provision of the Code of Ethics for Chief Executive Officer and Senior Financial and Accounting Officers.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adopted an insider trading policy that governs the purchase, sale, and/or other transactions of our securities by our directors, officers and employees and the Company itself that is reasonably designed to promote compliance with insider trading laws, rules and regulations and any applicable listing standards. A copy of our insider trading policy is filed as Exhibit </w:t>
      </w:r>
      <w:r>
        <w:rPr>
          <w:rStyle w:val="Emphasis"/>
          <w:rFonts w:ascii="Times New Roman" w:hAnsi="Times New Roman"/>
          <w:caps w:val="false"/>
          <w:smallCaps w:val="false"/>
          <w:sz w:val="20"/>
        </w:rPr>
        <w:t>19.1</w:t>
      </w:r>
      <w:r>
        <w:rPr>
          <w:rFonts w:ascii="Times New Roman" w:hAnsi="Times New Roman"/>
          <w:caps w:val="false"/>
          <w:smallCaps w:val="false"/>
          <w:sz w:val="20"/>
        </w:rPr>
        <w:t xml:space="preserve"> to this Annual Report on Form 10-K for the fiscal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3" w:name="item11_compensation"/>
      <w:bookmarkEnd w:id="23"/>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Executive Benefits and Perquisites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Set forth below is information regarding compensation earned by or paid or awarded to the following executive officers of the Company during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i) Tony Chung, our Chief Executive Officer and Principal Financial Officer, and (ii) Isaac Bresnick, our President. These persons are hereafter referred to as our “named executive officers.” The identification of such named executive officers is determined based on the individual’s total compensation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as reported below in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for each of the named executive officers: (i) the dollar value of base salary and bonus earned during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(ii) the aggregate grant date fair value of stock and option awards granted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computed in accordance with Financial Accounting Standards Board (“FASB”) Accounting Standards Codification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(R); (iii) the dollar value of earnings for services pursuant to awards granted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under non-equity incentive plans; (iv) non-qualified deferred compensation earnings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(v) all other compensation 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finally, (vi) the dollar value of total compensation 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7" w:type="dxa"/>
        <w:tblLayout w:type="fixed"/>
        <w:tblCellMar>
          <w:top w:w="28" w:type="dxa"/>
          <w:left w:w="28" w:type="dxa"/>
          <w:bottom w:w="28" w:type="dxa"/>
          <w:right w:w="28" w:type="dxa"/>
        </w:tblCellMar>
      </w:tblPr>
      <w:tblGrid>
        <w:gridCol w:w="4250"/>
        <w:gridCol w:w="440"/>
        <w:gridCol w:w="60"/>
        <w:gridCol w:w="125"/>
        <w:gridCol w:w="695"/>
        <w:gridCol w:w="60"/>
        <w:gridCol w:w="60"/>
        <w:gridCol w:w="542"/>
        <w:gridCol w:w="348"/>
        <w:gridCol w:w="60"/>
        <w:gridCol w:w="60"/>
        <w:gridCol w:w="332"/>
        <w:gridCol w:w="213"/>
        <w:gridCol w:w="60"/>
        <w:gridCol w:w="60"/>
        <w:gridCol w:w="405"/>
        <w:gridCol w:w="260"/>
        <w:gridCol w:w="60"/>
        <w:gridCol w:w="60"/>
        <w:gridCol w:w="125"/>
        <w:gridCol w:w="695"/>
        <w:gridCol w:w="60"/>
        <w:gridCol w:w="60"/>
        <w:gridCol w:w="125"/>
        <w:gridCol w:w="695"/>
        <w:gridCol w:w="60"/>
      </w:tblGrid>
      <w:tr>
        <w:trPr/>
        <w:tc>
          <w:tcPr>
            <w:tcW w:w="42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Name and Principal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c>
          <w:tcPr>
            <w:tcW w:w="4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82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89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Severance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54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6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82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82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25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Tony Chung,</w:t>
            </w:r>
          </w:p>
        </w:tc>
        <w:tc>
          <w:tcPr>
            <w:tcW w:w="440"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300,779</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32"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17,448</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318,227</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 and Chief Financial Officer</w:t>
            </w:r>
          </w:p>
        </w:tc>
        <w:tc>
          <w:tcPr>
            <w:tcW w:w="4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266,931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33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134,692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401,623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425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Isaac Bresnick,</w:t>
            </w:r>
          </w:p>
        </w:tc>
        <w:tc>
          <w:tcPr>
            <w:tcW w:w="440"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220,779</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32"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17,448</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238,227</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Former Executive Administrator</w:t>
            </w:r>
          </w:p>
        </w:tc>
        <w:tc>
          <w:tcPr>
            <w:tcW w:w="4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195,388</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33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67,346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262,734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425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Lugee Li,</w:t>
            </w:r>
          </w:p>
        </w:tc>
        <w:tc>
          <w:tcPr>
            <w:tcW w:w="440"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152,446</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32"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5"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152,446</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Chairman</w:t>
            </w:r>
          </w:p>
        </w:tc>
        <w:tc>
          <w:tcPr>
            <w:tcW w:w="4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33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 xml:space="preserve">Outstanding Equity Awards at </w:t>
      </w:r>
      <w:r>
        <w:rPr>
          <w:rStyle w:val="Emphasis"/>
          <w:rFonts w:ascii="Times New Roman" w:hAnsi="Times New Roman"/>
          <w:b/>
          <w:caps w:val="false"/>
          <w:smallCaps w:val="false"/>
          <w:sz w:val="20"/>
        </w:rPr>
        <w:t>2025</w:t>
      </w:r>
      <w:r>
        <w:rPr>
          <w:rFonts w:ascii="Times New Roman" w:hAnsi="Times New Roman"/>
          <w:b/>
          <w:caps w:val="false"/>
          <w:smallCaps w:val="false"/>
          <w:sz w:val="20"/>
        </w:rPr>
        <w:t xml:space="preserve">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information on outstanding option and stock awards held by the named executive officers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including the number of shares underlying both exercisable and un-exercisable portions of each stock option as well as the exercise price and expiration date of each outstanding option.</w:t>
      </w:r>
    </w:p>
    <w:p>
      <w:pPr>
        <w:pStyle w:val="TextBody"/>
        <w:bidi w:val="0"/>
        <w:spacing w:before="0" w:after="0"/>
        <w:ind w:left="0" w:right="0" w:hanging="0"/>
        <w:jc w:val="left"/>
        <w:rPr>
          <w:caps w:val="false"/>
          <w:smallCaps w:val="false"/>
        </w:rPr>
      </w:pPr>
      <w:r>
        <w:rPr>
          <w:caps w:val="false"/>
          <w:smallCaps w:val="false"/>
        </w:rPr>
        <w:t> </w:t>
      </w:r>
    </w:p>
    <w:tbl>
      <w:tblPr>
        <w:tblW w:w="7612" w:type="dxa"/>
        <w:jc w:val="left"/>
        <w:tblInd w:w="-7" w:type="dxa"/>
        <w:tblLayout w:type="fixed"/>
        <w:tblCellMar>
          <w:top w:w="28" w:type="dxa"/>
          <w:left w:w="28" w:type="dxa"/>
          <w:bottom w:w="28" w:type="dxa"/>
          <w:right w:w="28" w:type="dxa"/>
        </w:tblCellMar>
      </w:tblPr>
      <w:tblGrid>
        <w:gridCol w:w="1190"/>
        <w:gridCol w:w="60"/>
        <w:gridCol w:w="71"/>
        <w:gridCol w:w="1028"/>
        <w:gridCol w:w="245"/>
        <w:gridCol w:w="60"/>
        <w:gridCol w:w="522"/>
        <w:gridCol w:w="698"/>
        <w:gridCol w:w="60"/>
        <w:gridCol w:w="60"/>
        <w:gridCol w:w="95"/>
        <w:gridCol w:w="1364"/>
        <w:gridCol w:w="245"/>
        <w:gridCol w:w="60"/>
        <w:gridCol w:w="197"/>
        <w:gridCol w:w="602"/>
        <w:gridCol w:w="60"/>
        <w:gridCol w:w="995"/>
      </w:tblGrid>
      <w:tr>
        <w:trPr/>
        <w:tc>
          <w:tcPr>
            <w:tcW w:w="11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362" w:type="dxa"/>
            <w:gridSpan w:val="16"/>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r>
      <w:tr>
        <w:trPr/>
        <w:tc>
          <w:tcPr>
            <w:tcW w:w="11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Equity Incentive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Unearned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Expiration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Tony Chung</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75,000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0.38</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10/17/2027</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240,000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0.14</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11/14/2028</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7,500,000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center"/>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0.07</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07/06/2031</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2,333,250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1,666,750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center"/>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0.05</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03/12/2034</w:t>
            </w:r>
          </w:p>
        </w:tc>
      </w:tr>
      <w:tr>
        <w:trPr/>
        <w:tc>
          <w:tcPr>
            <w:tcW w:w="11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3,000,000</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9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0.04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03/12/2035</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Isaac Bresnick</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700,000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0.25</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12/13/2026</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240,000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0.23</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02/07/2027</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900,000</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0.09</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12/14/2031</w:t>
            </w:r>
          </w:p>
        </w:tc>
      </w:tr>
      <w:tr>
        <w:trPr/>
        <w:tc>
          <w:tcPr>
            <w:tcW w:w="119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1"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pPr>
            <w:r>
              <w:rPr>
                <w:rStyle w:val="Emphasis"/>
                <w:rFonts w:ascii="Times New Roman;Times;serif" w:hAnsi="Times New Roman;Times;serif"/>
                <w:sz w:val="20"/>
              </w:rPr>
              <w:t>1,166,625</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righ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95"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833,375</w:t>
            </w:r>
          </w:p>
        </w:tc>
        <w:tc>
          <w:tcPr>
            <w:tcW w:w="245" w:type="dxa"/>
            <w:tcBorders>
              <w:right w:val="single" w:sz="2" w:space="0" w:color="000000"/>
            </w:tcBorders>
            <w:tcMar>
              <w:top w:w="0" w:type="dxa"/>
              <w:left w:w="0" w:type="dxa"/>
              <w:bottom w:w="0" w:type="dxa"/>
            </w:tcMar>
            <w:vAlign w:val="center"/>
          </w:tcPr>
          <w:p>
            <w:pPr>
              <w:pStyle w:val="TableContents"/>
              <w:bidi w:val="0"/>
              <w:spacing w:before="0" w:after="283"/>
              <w:jc w:val="center"/>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cMar>
              <w:top w:w="0" w:type="dxa"/>
              <w:left w:w="0" w:type="dxa"/>
              <w:bottom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0.05</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ind w:left="0" w:right="0" w:hanging="0"/>
              <w:jc w:val="left"/>
              <w:rPr/>
            </w:pPr>
            <w:r>
              <w:rPr/>
              <w:t> </w:t>
            </w:r>
          </w:p>
        </w:tc>
        <w:tc>
          <w:tcPr>
            <w:tcW w:w="99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03/12/2034</w:t>
            </w:r>
          </w:p>
        </w:tc>
      </w:tr>
      <w:tr>
        <w:trPr/>
        <w:tc>
          <w:tcPr>
            <w:tcW w:w="11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3,000,000</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9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0.04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03/12/2035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shares underlying these grants are subject to a combination of market-price based and time-based lock-up provisions.</w:t>
            </w:r>
          </w:p>
        </w:tc>
      </w:tr>
      <w:tr>
        <w:trPr/>
        <w:tc>
          <w:tcPr>
            <w:tcW w:w="198"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07"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shares underlying these grants vest </w:t>
            </w:r>
            <w:r>
              <w:rPr>
                <w:rStyle w:val="Emphasis"/>
                <w:rFonts w:ascii="Times New Roman;Times;serif" w:hAnsi="Times New Roman;Times;serif"/>
                <w:caps w:val="false"/>
                <w:smallCaps w:val="false"/>
                <w:sz w:val="20"/>
              </w:rPr>
              <w:t>33%</w:t>
            </w:r>
            <w:r>
              <w:rPr>
                <w:rFonts w:ascii="Times New Roman;Times;serif" w:hAnsi="Times New Roman;Times;serif"/>
                <w:caps w:val="false"/>
                <w:smallCaps w:val="false"/>
                <w:sz w:val="20"/>
              </w:rPr>
              <w:t xml:space="preserve"> following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of </w:t>
            </w:r>
            <w:r>
              <w:rPr>
                <w:rStyle w:val="Emphasis"/>
                <w:rFonts w:ascii="Times New Roman;Times;serif" w:hAnsi="Times New Roman;Times;serif"/>
                <w:caps w:val="false"/>
                <w:smallCaps w:val="false"/>
                <w:sz w:val="20"/>
              </w:rPr>
              <w:t xml:space="preserve">March 12, 2024, </w:t>
            </w:r>
            <w:r>
              <w:rPr>
                <w:rFonts w:ascii="Times New Roman;Times;serif" w:hAnsi="Times New Roman;Times;serif"/>
                <w:caps w:val="false"/>
                <w:smallCaps w:val="false"/>
                <w:sz w:val="20"/>
              </w:rPr>
              <w:t xml:space="preserve">and on a monthly basis following such date for the remaining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years thereof.</w:t>
            </w:r>
          </w:p>
        </w:tc>
      </w:tr>
      <w:tr>
        <w:trPr/>
        <w:tc>
          <w:tcPr>
            <w:tcW w:w="198"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10007"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shares underlying these grants vest </w:t>
            </w:r>
            <w:r>
              <w:rPr>
                <w:rStyle w:val="Emphasis"/>
                <w:rFonts w:ascii="Times New Roman;Times;serif" w:hAnsi="Times New Roman;Times;serif"/>
                <w:caps w:val="false"/>
                <w:smallCaps w:val="false"/>
                <w:sz w:val="20"/>
              </w:rPr>
              <w:t>33%</w:t>
            </w:r>
            <w:r>
              <w:rPr>
                <w:rFonts w:ascii="Times New Roman;Times;serif" w:hAnsi="Times New Roman;Times;serif"/>
                <w:caps w:val="false"/>
                <w:smallCaps w:val="false"/>
                <w:sz w:val="20"/>
              </w:rPr>
              <w:t xml:space="preserve"> following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of </w:t>
            </w:r>
            <w:r>
              <w:rPr>
                <w:rStyle w:val="Emphasis"/>
                <w:rFonts w:ascii="Times New Roman;Times;serif" w:hAnsi="Times New Roman;Times;serif"/>
                <w:caps w:val="false"/>
                <w:smallCaps w:val="false"/>
                <w:sz w:val="20"/>
              </w:rPr>
              <w:t xml:space="preserve">March 12, 2024, </w:t>
            </w:r>
            <w:r>
              <w:rPr>
                <w:rFonts w:ascii="Times New Roman;Times;serif" w:hAnsi="Times New Roman;Times;serif"/>
                <w:caps w:val="false"/>
                <w:smallCaps w:val="false"/>
                <w:sz w:val="20"/>
              </w:rPr>
              <w:t xml:space="preserve">and on a monthly basis following such date for the remaining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years thereof.</w:t>
            </w:r>
          </w:p>
        </w:tc>
      </w:tr>
      <w:tr>
        <w:trPr/>
        <w:tc>
          <w:tcPr>
            <w:tcW w:w="198"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10007"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shares underlying these grants vest </w:t>
            </w:r>
            <w:r>
              <w:rPr>
                <w:rStyle w:val="Emphasis"/>
                <w:rFonts w:ascii="Times New Roman;Times;serif" w:hAnsi="Times New Roman;Times;serif"/>
                <w:caps w:val="false"/>
                <w:smallCaps w:val="false"/>
                <w:sz w:val="20"/>
              </w:rPr>
              <w:t>33%</w:t>
            </w:r>
            <w:r>
              <w:rPr>
                <w:rFonts w:ascii="Times New Roman;Times;serif" w:hAnsi="Times New Roman;Times;serif"/>
                <w:caps w:val="false"/>
                <w:smallCaps w:val="false"/>
                <w:sz w:val="20"/>
              </w:rPr>
              <w:t xml:space="preserve"> following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of </w:t>
            </w:r>
            <w:r>
              <w:rPr>
                <w:rStyle w:val="Emphasis"/>
                <w:rFonts w:ascii="Times New Roman;Times;serif" w:hAnsi="Times New Roman;Times;serif"/>
                <w:caps w:val="false"/>
                <w:smallCaps w:val="false"/>
                <w:sz w:val="20"/>
              </w:rPr>
              <w:t xml:space="preserve">March 12, 2025, </w:t>
            </w:r>
            <w:r>
              <w:rPr>
                <w:rFonts w:ascii="Times New Roman;Times;serif" w:hAnsi="Times New Roman;Times;serif"/>
                <w:caps w:val="false"/>
                <w:smallCaps w:val="false"/>
                <w:sz w:val="20"/>
              </w:rPr>
              <w:t xml:space="preserve">and on a monthly basis following such date for the remaining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years thereof.</w:t>
            </w:r>
          </w:p>
        </w:tc>
      </w:tr>
      <w:tr>
        <w:trPr/>
        <w:tc>
          <w:tcPr>
            <w:tcW w:w="198"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w:t>
            </w:r>
          </w:p>
        </w:tc>
        <w:tc>
          <w:tcPr>
            <w:tcW w:w="10007"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shares underlying these grants vest </w:t>
            </w:r>
            <w:r>
              <w:rPr>
                <w:rStyle w:val="Emphasis"/>
                <w:rFonts w:ascii="Times New Roman;Times;serif" w:hAnsi="Times New Roman;Times;serif"/>
                <w:caps w:val="false"/>
                <w:smallCaps w:val="false"/>
                <w:sz w:val="20"/>
              </w:rPr>
              <w:t>33%</w:t>
            </w:r>
            <w:r>
              <w:rPr>
                <w:rFonts w:ascii="Times New Roman;Times;serif" w:hAnsi="Times New Roman;Times;serif"/>
                <w:caps w:val="false"/>
                <w:smallCaps w:val="false"/>
                <w:sz w:val="20"/>
              </w:rPr>
              <w:t xml:space="preserve"> following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anniversary of the grant date of </w:t>
            </w:r>
            <w:r>
              <w:rPr>
                <w:rStyle w:val="Emphasis"/>
                <w:rFonts w:ascii="Times New Roman;Times;serif" w:hAnsi="Times New Roman;Times;serif"/>
                <w:caps w:val="false"/>
                <w:smallCaps w:val="false"/>
                <w:sz w:val="20"/>
              </w:rPr>
              <w:t xml:space="preserve">March 12, 2025, </w:t>
            </w:r>
            <w:r>
              <w:rPr>
                <w:rFonts w:ascii="Times New Roman;Times;serif" w:hAnsi="Times New Roman;Times;serif"/>
                <w:caps w:val="false"/>
                <w:smallCaps w:val="false"/>
                <w:sz w:val="20"/>
              </w:rPr>
              <w:t xml:space="preserve">and on a monthly basis following such date for the remaining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years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Agreements and Change of Control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we entered into Change of Control Agreements with Mr. Tony Chung and Mr. Isaac Bresnick, each of whom serves as our executive officer. Pursuant to these agreements, if a change of control of the Company occurs and,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following such change of control, the executive’s employment is terminated by us other than for cause or the executive resigns for good reason, the executive will be entitled to receive a lump-sum cash severance payment equal to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of his then-current base salary. In addition, all unvested equity awards held by the executive will immediately vest upon a change of control, and stock options will remain exercisable for a specified period following termination. The agreements also provide for continued health and welfare benefits for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following a qualifying termination. A copy of our Change of Control Agreements is filed as Exhibit </w:t>
      </w:r>
      <w:r>
        <w:rPr>
          <w:rStyle w:val="Emphasis"/>
          <w:rFonts w:ascii="Times New Roman" w:hAnsi="Times New Roman"/>
          <w:caps w:val="false"/>
          <w:smallCaps w:val="false"/>
          <w:sz w:val="20"/>
        </w:rPr>
        <w:t>19.2</w:t>
      </w:r>
      <w:r>
        <w:rPr>
          <w:rFonts w:ascii="Times New Roman" w:hAnsi="Times New Roman"/>
          <w:caps w:val="false"/>
          <w:smallCaps w:val="false"/>
          <w:sz w:val="20"/>
        </w:rPr>
        <w:t xml:space="preserve"> to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401</w:t>
      </w:r>
      <w:r>
        <w:rPr>
          <w:rFonts w:ascii="Times New Roman" w:hAnsi="Times New Roman"/>
          <w:b/>
          <w:caps w:val="false"/>
          <w:smallCaps w:val="false"/>
          <w:sz w:val="20"/>
        </w:rPr>
        <w:t xml:space="preserve">(k) Savings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adopted a tax-qualified employee savings and retirement plan, or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that covers all of our employees. Pursuant to our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participants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reduce their current compensation, on a pre-tax basis, by an amount up to the statutorily prescribed annual limit and have the amount of the reduction contributed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permits us, in our sole discretion, to make additional employer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However,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make employer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do so in the future. As such, contributions by employees or by us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and the income earned on plan contributions,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taxable to employees until withdrawn from the </w:t>
      </w:r>
      <w:r>
        <w:rPr>
          <w:rStyle w:val="Emphasis"/>
          <w:rFonts w:ascii="Times New Roman" w:hAnsi="Times New Roman"/>
          <w:caps w:val="false"/>
          <w:smallCaps w:val="false"/>
          <w:sz w:val="20"/>
        </w:rPr>
        <w:t>401</w:t>
      </w:r>
      <w:r>
        <w:rPr>
          <w:rFonts w:ascii="Times New Roman" w:hAnsi="Times New Roman"/>
          <w:caps w:val="false"/>
          <w:smallCaps w:val="false"/>
          <w:sz w:val="20"/>
        </w:rPr>
        <w:t>(k) plan, and we can deduct our contributions, if any, at the time they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information regarding the compensation received by each of our non-employee directors serving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7" w:type="dxa"/>
        <w:tblLayout w:type="fixed"/>
        <w:tblCellMar>
          <w:top w:w="28" w:type="dxa"/>
          <w:left w:w="28" w:type="dxa"/>
          <w:bottom w:w="28" w:type="dxa"/>
          <w:right w:w="28" w:type="dxa"/>
        </w:tblCellMar>
      </w:tblPr>
      <w:tblGrid>
        <w:gridCol w:w="1460"/>
        <w:gridCol w:w="60"/>
        <w:gridCol w:w="155"/>
        <w:gridCol w:w="734"/>
        <w:gridCol w:w="60"/>
        <w:gridCol w:w="60"/>
        <w:gridCol w:w="381"/>
        <w:gridCol w:w="508"/>
        <w:gridCol w:w="60"/>
        <w:gridCol w:w="60"/>
        <w:gridCol w:w="125"/>
        <w:gridCol w:w="590"/>
        <w:gridCol w:w="60"/>
        <w:gridCol w:w="60"/>
        <w:gridCol w:w="529"/>
        <w:gridCol w:w="706"/>
        <w:gridCol w:w="60"/>
        <w:gridCol w:w="60"/>
        <w:gridCol w:w="529"/>
        <w:gridCol w:w="706"/>
        <w:gridCol w:w="60"/>
        <w:gridCol w:w="60"/>
        <w:gridCol w:w="529"/>
        <w:gridCol w:w="706"/>
        <w:gridCol w:w="60"/>
        <w:gridCol w:w="60"/>
        <w:gridCol w:w="125"/>
        <w:gridCol w:w="590"/>
        <w:gridCol w:w="60"/>
      </w:tblGrid>
      <w:tr>
        <w:trPr/>
        <w:tc>
          <w:tcPr>
            <w:tcW w:w="14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88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w:t>
              <w:br/>
              <w:t>Earned or</w:t>
              <w:br/>
              <w:t>Paid in</w:t>
              <w:br/>
              <w:t>Cash</w:t>
              <w:br/>
              <w:t>($)</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88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br/>
              <w:t>Awards($)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br/>
              <w:t>Awards</w:t>
              <w:br/>
              <w:t>($)</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Non-Equity</w:t>
              <w:br/>
              <w:t>Incentive Plan</w:t>
              <w:br/>
              <w:t>Compensation</w:t>
              <w:br/>
              <w:t>($)</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Nonqualified</w:t>
              <w:br/>
              <w:t>Deferred</w:t>
              <w:br/>
              <w:t>Compensation</w:t>
              <w:br/>
              <w:t>Earnings</w:t>
              <w:br/>
              <w:t>($)</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w:t>
              <w:br/>
              <w:t>($)</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4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Lugee Li</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5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0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10,894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10,894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4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Carrubba</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5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40,000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0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8,724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48,724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non-employee directors receive certain compensation for their services and are reimbursed for expenses incurred in attending board and committee meetings, as determined by the board of directors. Mr. Currubba received a base fee of </w:t>
      </w:r>
      <w:r>
        <w:rPr>
          <w:rStyle w:val="Emphasis"/>
          <w:rFonts w:ascii="Times New Roman" w:hAnsi="Times New Roman"/>
          <w:caps w:val="false"/>
          <w:smallCaps w:val="false"/>
          <w:sz w:val="20"/>
        </w:rPr>
        <w:t>$40,000</w:t>
      </w:r>
      <w:r>
        <w:rPr>
          <w:rFonts w:ascii="Times New Roman" w:hAnsi="Times New Roman"/>
          <w:caps w:val="false"/>
          <w:smallCaps w:val="false"/>
          <w:sz w:val="20"/>
        </w:rPr>
        <w:t xml:space="preserve"> during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a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pursuant to which our non-employee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receive stock options. Each non-employee director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entitled to receive options on a case by case basis, in an amount determined by our board of directors or its compensation committee in its respective discretion, to purchase shares of common stock upon initial election to the board of directors. In determining the number of options granted to a director upon initial election, the compensation committee uses its judgment and, consistent with our compensation objectives, maintains the flexibility necessary to recruit qualified and experienced directors. All options granted under the plan have an exercise price equal to the fair market value of our common stock on the date of the grant. These stock options have 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-year term and are exercisable pursuant to an equal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-year vesting schedule, and remain exercisable for certain periods of time after a person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director who is an employee will receive separate compensation for services rendered as a director. However, our employee directors are eligible to participate in our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generally grant annual equity-based awards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our fiscal year, although such timing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change from year to year. The board of directors also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consider and approve interim or mid-year grants, or grants made on another basis, from time to time based on business needs, changing compensation practices or other factors, in the discretion of the board of directors. Our board of directors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take material non-public information into account when determining the timing and terms of equity awards, and we have not timed the release of material nonpublic information for the purpose of affecting the value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4" w:name="item12_security"/>
      <w:bookmarkEnd w:id="24"/>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12. Security Ownership of Certain Beneficial Owners and Management and Related Shareholder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the beneficial ownership of our common stock as of December 31, 2025 by:</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known by us to be a beneficial owner of more than 5.0% of our outstanding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of our directors;</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of our named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of our directors and executive officers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and percentage of shares beneficially owned is determined under the rules of the SEC and is not necessarily indicative of beneficial ownership for any other purpose. Under such rules, beneficial ownership for each individual includes any shares as to which the individual has sole or shared voting power or investment power and also any shares which the individual has the right to acquire beneficial ownership of within 60 days of December 31, 2025 through the exercise of any stock option or other right. Unless otherwise indicated in the footnotes, each person has sole voting and investment power with respect to the shares shown as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total of 917,285,149 shares of our common stock were issued and outstanding as of December 31, 2025. Unless otherwise indicated, the address of all directors and named executive officers is 20321 Valencia Circle, Lake Forest, California 92630.</w:t>
      </w:r>
    </w:p>
    <w:p>
      <w:pPr>
        <w:pStyle w:val="TextBody"/>
        <w:bidi w:val="0"/>
        <w:spacing w:before="0" w:after="0"/>
        <w:ind w:left="0" w:right="0" w:hanging="0"/>
        <w:jc w:val="left"/>
        <w:rPr>
          <w:caps w:val="false"/>
          <w:smallCaps w:val="false"/>
        </w:rPr>
      </w:pPr>
      <w:r>
        <w:rPr>
          <w:caps w:val="false"/>
          <w:smallCaps w:val="false"/>
        </w:rPr>
        <w:t> </w:t>
      </w:r>
    </w:p>
    <w:tbl>
      <w:tblPr>
        <w:tblW w:w="7224" w:type="dxa"/>
        <w:jc w:val="left"/>
        <w:tblInd w:w="0" w:type="dxa"/>
        <w:tblLayout w:type="fixed"/>
        <w:tblCellMar>
          <w:top w:w="0" w:type="dxa"/>
          <w:left w:w="0" w:type="dxa"/>
          <w:bottom w:w="0" w:type="dxa"/>
          <w:right w:w="0" w:type="dxa"/>
        </w:tblCellMar>
      </w:tblPr>
      <w:tblGrid>
        <w:gridCol w:w="4655"/>
        <w:gridCol w:w="60"/>
        <w:gridCol w:w="60"/>
        <w:gridCol w:w="1055"/>
        <w:gridCol w:w="245"/>
        <w:gridCol w:w="60"/>
        <w:gridCol w:w="122"/>
        <w:gridCol w:w="782"/>
        <w:gridCol w:w="18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185" w:type="dxa"/>
            <w:tcBorders/>
            <w:vAlign w:val="center"/>
          </w:tcPr>
          <w:p>
            <w:pPr>
              <w:pStyle w:val="TableContents"/>
              <w:bidi w:val="0"/>
              <w:spacing w:before="0" w:after="283"/>
              <w:ind w:left="0" w:right="0" w:hanging="0"/>
              <w:jc w:val="left"/>
              <w:rPr/>
            </w:pPr>
            <w:r>
              <w:rPr/>
              <w:t> </w:t>
            </w:r>
          </w:p>
        </w:tc>
      </w:tr>
      <w:tr>
        <w:trPr/>
        <w:tc>
          <w:tcPr>
            <w:tcW w:w="46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Beneficial Owner</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br/>
              <w:t xml:space="preserve">of Shares(1) </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br/>
              <w:t>of Class(1)</w:t>
            </w:r>
          </w:p>
        </w:tc>
        <w:tc>
          <w:tcPr>
            <w:tcW w:w="18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Lugee Li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227,472,262</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Carrubba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2,045,537</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Tony Chung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11,394,833</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Isaac Bresnick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3,117,741</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directors and executive officers as a group (4 persons)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244,030,373</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5%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Liquidmetal Technology Limited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225,212,112</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 906, Tai Tung Building, 8 Fleming 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Wanchai, Hong Kong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than one percent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Shares of common stock beneficially owned and the respective percentages of beneficial ownership of common stock assumes the exercise or conversion of all options, warrants and other securities convertible into common stock, beneficially owned by such person or entity currently exercisable or exercisable within 60 days of December 31, 2025. Shares issuable pursuant to the exercise of stock options and warrants exercisable within 60 days of December 31, 2025, or securities convertible into common stock within 60 days of December 31, 2025, are deemed outstanding and held by the holder of such shares of common stock, options, warrants, or other convertible securities, for purposes of computing the percentage of outstanding common stock beneficially owned by such person, but are not deemed outstanding for computing the percentage of outstanding common stock beneficially owned by any other person. The percentage of common stock beneficially owned is based on 917,285,149 shares of common stock outstanding as of December 31, 2025.</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225,212,112 shares of common stock held of record by Liquidmetal Technology Limited. Professor Li is the majority owner, officer, and director of Liquidmetal Technology Limited and has the power to direct the voting and disposition of such shares;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60"/>
        <w:gridCol w:w="245"/>
        <w:gridCol w:w="56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1,360,150 shares of common stock held of record by Professor Li;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900,000 shares issuable pursuant to outstanding stock options which are exercisable currently or within 60 days of December 31, 2025. Does not include 3,000,000 shares that are issuable pursuant to outstanding stock options that are not exercisable currently or within 60 days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2,045,537 shares issuable pursuant to outstanding stock options, held of record by Mr. Carrubba, which are exercisable currently or within 60 days of December 31, 2025. Does not include 1,861,130 shares that are issuable pursuant to outstanding stock options that are not exercisable currently or within 60 days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245"/>
        <w:gridCol w:w="7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230"/>
        <w:gridCol w:w="55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1,024,350 shares of common stock held of record by Mr. Chung;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10,370,483 shares issuable pursuant to outstanding stock options which are exercisable currently or within 60 days of December 31, 2025. Does not include 4,444,517 shares that are issuable pursuant to outstanding stock options that are not exercisable currently or within 60 days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3,117,741 shares issuable pursuant to outstanding stock options, held of record by Mr. Bresnick, which are exercisable currently or within 60 days of December 31, 2025. Does not include 3,722,259 shares that are issuable pursuant to outstanding stock options that are not exercisable currently or within 60 days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245"/>
        <w:gridCol w:w="80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8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225,212,112 shares of common stock held of record by Liquidmetal Technology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executive officers, directors, and all of our employees are allowed to participate in our equity incentive plans. We believe that providing them with the ability to participate in such plans provides them with a further incentive towards ensuring our success and accomplishing our corporate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the securities authorized for issuance under our equity compensation plans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3771"/>
        <w:gridCol w:w="60"/>
        <w:gridCol w:w="119"/>
        <w:gridCol w:w="1898"/>
        <w:gridCol w:w="60"/>
        <w:gridCol w:w="60"/>
        <w:gridCol w:w="537"/>
        <w:gridCol w:w="1636"/>
        <w:gridCol w:w="60"/>
        <w:gridCol w:w="60"/>
        <w:gridCol w:w="806"/>
        <w:gridCol w:w="1075"/>
        <w:gridCol w:w="63"/>
      </w:tblGrid>
      <w:tr>
        <w:trPr/>
        <w:tc>
          <w:tcPr>
            <w:tcW w:w="377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2017"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securities to be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issued upon exercise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br/>
              <w:t>[a]</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2173"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of outstanding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br/>
              <w:t>[b]</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881"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available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future issuance under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equity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plans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(excluding 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reflected in column [a])</w:t>
              <w:br/>
              <w:t>[c]</w:t>
            </w:r>
          </w:p>
        </w:tc>
        <w:tc>
          <w:tcPr>
            <w:tcW w:w="6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377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stockholders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89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25,294,167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securities, and types of plans available for future issuances of stock options, as of December 31, 2025 was as follows:</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7" w:type="dxa"/>
        <w:tblLayout w:type="fixed"/>
        <w:tblCellMar>
          <w:top w:w="28" w:type="dxa"/>
          <w:left w:w="28" w:type="dxa"/>
          <w:bottom w:w="28" w:type="dxa"/>
          <w:right w:w="28" w:type="dxa"/>
        </w:tblCellMar>
      </w:tblPr>
      <w:tblGrid>
        <w:gridCol w:w="2255"/>
        <w:gridCol w:w="60"/>
        <w:gridCol w:w="62"/>
        <w:gridCol w:w="982"/>
        <w:gridCol w:w="62"/>
        <w:gridCol w:w="62"/>
        <w:gridCol w:w="62"/>
        <w:gridCol w:w="982"/>
        <w:gridCol w:w="62"/>
        <w:gridCol w:w="62"/>
        <w:gridCol w:w="62"/>
        <w:gridCol w:w="993"/>
        <w:gridCol w:w="62"/>
        <w:gridCol w:w="62"/>
        <w:gridCol w:w="362"/>
        <w:gridCol w:w="483"/>
        <w:gridCol w:w="60"/>
      </w:tblGrid>
      <w:tr>
        <w:trPr/>
        <w:tc>
          <w:tcPr>
            <w:tcW w:w="22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Name</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4360" w:type="dxa"/>
            <w:gridSpan w:val="14"/>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and Warrants for Common Shares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22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Authorized</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Exercised</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Available</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2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2012 Equity Incentive Plan</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30,000,000</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11,227,445</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2,432,500</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2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2015 Equity Incentive Plan</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40,000,000</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11,822,131</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22,861,667</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2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 Options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70,000,000</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23,049,576</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25,294,167</w:t>
            </w:r>
          </w:p>
        </w:tc>
        <w:tc>
          <w:tcPr>
            <w:tcW w:w="6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2"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2012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28, 2012, the Company adopted the 2012 Equity Incentive Plan (“2012 Plan”), with the approval of the shareholders, which provided for the grant of stock options to officers, employees, consultants and directors of the Company and its subsidiaries. The 2012 Plan expired in June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2,432,500 outstanding options or stock awards at a weighted average price of $0.14 under the 2012 Plan as of December 31, 2025. There were 2,432,500 options exercisable and 11,227,445 shares had been issued upon exercise of options under the 2012 Plan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2015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27, 2015, the Company adopted the 2015 Equity Incentive Plan (“2015 Plan”), which provided for the grant of stock options to officers, employees, consultants and directors of the Company and its subsidiaries. The purpose of the 2015 Plan is to advance the interests of our shareholders by enhancing our ability to attract, retain, and motivate persons who make or are expected to make important contributions to the Company and its subsidiaries by providing such persons with equity ownership opportunities and performance-based incentives, thereby better aligning their interests with those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2015 Plan provides for the granting to employees and consultants of non-statutory stock options. In addition, it permits the granting of stock appreciation rights, or SARs, with or independently of options, as well as stock bonuses and rights to purchase restricted stock. A total of 40 million shares of our common stock may be granted under the 2015 Plan, and all options granted under this plan had exercise prices that were equal to the fair market value on the date of grant. The 2015 Plan expired in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22,861,667 outstanding options or stock awards at a weighted average price of $0.08 under the 2015 Plan as of December 31, 2025. There were 19,036,478 options exercisable and 11,822,131 shares had been issued upon exercise of options under the 2015 Plan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5" w:name="item13_certain"/>
      <w:bookmarkEnd w:id="25"/>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Transactions with Related Persons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the Company entered into the 2016 Purchase Agreement with Liquidmetal Technology Limited, providing for the purchase of 405,000,000 shares of the Company’s common stock for an aggregate purchase price of $63,400. Liquidmetal Technology Limited was a newly formed company owned by Professor Li. In connection with the 2016 Purchase Agreement and also on March 10, 2016, the Company and Eontec, entered into a license agreement pursuant to which the Company and Eontec entered into a cross-license of their respective technologies. Eontec is a publicly held Hong Kong corporation of which Professor Li is the Chairman. Eontec is also an affiliate of Yihao. Yihao is currently the Company’s primary contract manufacturer. As of December 31, 2025, Professor Li is a greater-than 5% beneficial owner of the Company and serves as the Company’s Chairman. Equipment and services procured from Eontec, and their affiliates, were $439 and $612 during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Review, Approval or Ratification of 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policy is to require that any transaction with a related party required to be reported under applicable SEC rules, other than compensation-related matters, be reviewed and approved or ratified by the board of directors. The board of directors has not adopted specific procedures for review of, or standards for approval of, these transactions, but instead reviews such transactions on a case by case basis. Our policy is to require that all compensation-related matters be recommended for board of director approval. During the last fiscal year no transactions with a related party occurred that required a waiver of this policy and no transactions with a related party occurred in which we did not follow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currently has four members – Lugee Li, Isaac Bresnick, Vincent Carrubba, and Tony Chung. Our board of directors has determined that Mr. Carrubba is an “independent director” as such term is defined by the rules of the NASDAQ Stock Market,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6" w:name="item14_principal"/>
      <w:bookmarkEnd w:id="26"/>
      <w:r>
        <w:rPr>
          <w:rFonts w:ascii="Times New Roman" w:hAnsi="Times New Roman"/>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Fees for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aggregate fees billed to us by BCRG Group, our current auditor, for professional services during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7" w:type="dxa"/>
        <w:tblLayout w:type="fixed"/>
        <w:tblCellMar>
          <w:top w:w="28" w:type="dxa"/>
          <w:left w:w="28" w:type="dxa"/>
          <w:bottom w:w="28" w:type="dxa"/>
          <w:right w:w="28" w:type="dxa"/>
        </w:tblCellMar>
      </w:tblPr>
      <w:tblGrid>
        <w:gridCol w:w="1955"/>
        <w:gridCol w:w="60"/>
        <w:gridCol w:w="125"/>
        <w:gridCol w:w="590"/>
        <w:gridCol w:w="60"/>
        <w:gridCol w:w="60"/>
        <w:gridCol w:w="125"/>
        <w:gridCol w:w="590"/>
        <w:gridCol w:w="60"/>
      </w:tblGrid>
      <w:tr>
        <w:trPr/>
        <w:tc>
          <w:tcPr>
            <w:tcW w:w="19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9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 - Reaudit</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9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9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aggregate fees billed to us by M&amp;K, our previous auditor, for professional services during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2010" w:type="dxa"/>
        <w:jc w:val="left"/>
        <w:tblInd w:w="-7" w:type="dxa"/>
        <w:tblLayout w:type="fixed"/>
        <w:tblCellMar>
          <w:top w:w="28" w:type="dxa"/>
          <w:left w:w="28" w:type="dxa"/>
          <w:bottom w:w="28" w:type="dxa"/>
          <w:right w:w="28" w:type="dxa"/>
        </w:tblCellMar>
      </w:tblPr>
      <w:tblGrid>
        <w:gridCol w:w="1175"/>
        <w:gridCol w:w="60"/>
        <w:gridCol w:w="125"/>
        <w:gridCol w:w="590"/>
        <w:gridCol w:w="60"/>
      </w:tblGrid>
      <w:tr>
        <w:trPr/>
        <w:tc>
          <w:tcPr>
            <w:tcW w:w="11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1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1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1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i/>
          <w:caps w:val="false"/>
          <w:smallCaps w:val="false"/>
          <w:sz w:val="20"/>
        </w:rPr>
        <w:t>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 for audit services billed in 2025 and 2024 consisted of:</w:t>
      </w:r>
    </w:p>
    <w:tbl>
      <w:tblPr>
        <w:tblW w:w="6205" w:type="dxa"/>
        <w:jc w:val="left"/>
        <w:tblInd w:w="0" w:type="dxa"/>
        <w:tblLayout w:type="fixed"/>
        <w:tblCellMar>
          <w:top w:w="0" w:type="dxa"/>
          <w:left w:w="0" w:type="dxa"/>
          <w:bottom w:w="0" w:type="dxa"/>
          <w:right w:w="0" w:type="dxa"/>
        </w:tblCellMar>
      </w:tblPr>
      <w:tblGrid>
        <w:gridCol w:w="60"/>
        <w:gridCol w:w="110"/>
        <w:gridCol w:w="6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Progress billings for the audits of the Company’s financial statements; and</w:t>
            </w:r>
          </w:p>
        </w:tc>
      </w:tr>
    </w:tbl>
    <w:tbl>
      <w:tblPr>
        <w:tblW w:w="4780" w:type="dxa"/>
        <w:jc w:val="left"/>
        <w:tblInd w:w="0" w:type="dxa"/>
        <w:tblLayout w:type="fixed"/>
        <w:tblCellMar>
          <w:top w:w="0" w:type="dxa"/>
          <w:left w:w="0" w:type="dxa"/>
          <w:bottom w:w="0" w:type="dxa"/>
          <w:right w:w="0" w:type="dxa"/>
        </w:tblCellMar>
      </w:tblPr>
      <w:tblGrid>
        <w:gridCol w:w="60"/>
        <w:gridCol w:w="110"/>
        <w:gridCol w:w="4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 of the Company’s quarterly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of Director Pre-Approval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pre-approves all audit and permissible non-audit services provided by our independent public accountants on a case-by-case basis. Our board of directors approved 100% of the services performed by BCRG Group for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7" w:name="part4"/>
      <w:bookmarkEnd w:id="27"/>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8" w:name="item15_exhibits"/>
      <w:bookmarkEnd w:id="28"/>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15. Exhibits,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230"/>
        <w:gridCol w:w="46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4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documents are filed as a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Financial Statements</w:t>
            </w:r>
            <w:r>
              <w:rPr>
                <w:rFonts w:ascii="Times New Roman;Times;serif" w:hAnsi="Times New Roman;Times;serif"/>
                <w:caps w:val="false"/>
                <w:smallCaps w:val="false"/>
                <w:sz w:val="20"/>
              </w:rPr>
              <w:t>. See the Index to Consolidated Financial Statements on page 45.</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5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Exhibits</w:t>
            </w:r>
            <w:r>
              <w:rPr>
                <w:rFonts w:ascii="Times New Roman;Times;serif" w:hAnsi="Times New Roman;Times;serif"/>
                <w:caps w:val="false"/>
                <w:smallCaps w:val="false"/>
                <w:sz w:val="20"/>
              </w:rPr>
              <w:t>. See Item 15(b)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Exhibits</w:t>
            </w:r>
            <w:r>
              <w:rPr>
                <w:rFonts w:ascii="Times New Roman;Times;serif" w:hAnsi="Times New Roman;Times;serif"/>
                <w:caps w:val="false"/>
                <w:smallCaps w:val="false"/>
                <w:sz w:val="20"/>
              </w:rPr>
              <w:t>. The exhibits listed on the Exhibit Index, which appears at the end of this Item 15, are filed as part of, or are incorporated by reference into,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94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Document 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3.1</w:t>
            </w:r>
          </w:p>
        </w:tc>
        <w:tc>
          <w:tcPr>
            <w:tcW w:w="9495" w:type="dxa"/>
            <w:tcBorders/>
            <w:vAlign w:val="center"/>
          </w:tcPr>
          <w:p>
            <w:pPr>
              <w:pStyle w:val="TableContents"/>
              <w:bidi w:val="0"/>
              <w:spacing w:before="0" w:after="0"/>
              <w:ind w:left="0" w:right="0" w:hanging="0"/>
              <w:jc w:val="left"/>
              <w:rPr/>
            </w:pPr>
            <w:hyperlink r:id="rId2">
              <w:r>
                <w:rPr>
                  <w:rStyle w:val="InternetLink"/>
                  <w:rFonts w:ascii="Times New Roman" w:hAnsi="Times New Roman"/>
                  <w:b/>
                  <w:caps w:val="false"/>
                  <w:smallCaps w:val="false"/>
                  <w:sz w:val="20"/>
                  <w:u w:val="single"/>
                </w:rPr>
                <w:t>Amended and Restated Certificate of Incorporation (incorporated by reference to Exhibit 3.1 to the Form 8-K filed on May 20, 2016).</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3.2</w:t>
            </w:r>
          </w:p>
        </w:tc>
        <w:tc>
          <w:tcPr>
            <w:tcW w:w="9495" w:type="dxa"/>
            <w:tcBorders/>
            <w:vAlign w:val="center"/>
          </w:tcPr>
          <w:p>
            <w:pPr>
              <w:pStyle w:val="TableContents"/>
              <w:bidi w:val="0"/>
              <w:spacing w:before="0" w:after="0"/>
              <w:ind w:left="0" w:right="0" w:hanging="0"/>
              <w:jc w:val="left"/>
              <w:rPr/>
            </w:pPr>
            <w:hyperlink r:id="rId3">
              <w:r>
                <w:rPr>
                  <w:rStyle w:val="InternetLink"/>
                  <w:rFonts w:ascii="Times New Roman" w:hAnsi="Times New Roman"/>
                  <w:b/>
                  <w:caps w:val="false"/>
                  <w:smallCaps w:val="false"/>
                  <w:sz w:val="20"/>
                  <w:u w:val="single"/>
                </w:rPr>
                <w:t>Amended and Restated ByLaws of Liquidmetal Technologies, Inc. (incorporated by reference to Exhibit 3.1 to the Form 8-K filed on October 5, 2015).</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4.1</w:t>
            </w:r>
          </w:p>
        </w:tc>
        <w:tc>
          <w:tcPr>
            <w:tcW w:w="9495" w:type="dxa"/>
            <w:tcBorders/>
            <w:vAlign w:val="center"/>
          </w:tcPr>
          <w:p>
            <w:pPr>
              <w:pStyle w:val="TableContents"/>
              <w:bidi w:val="0"/>
              <w:spacing w:before="0" w:after="0"/>
              <w:ind w:left="0" w:right="0" w:hanging="0"/>
              <w:jc w:val="left"/>
              <w:rPr/>
            </w:pPr>
            <w:r>
              <w:rPr>
                <w:rFonts w:ascii="Times New Roman" w:hAnsi="Times New Roman"/>
                <w:b/>
                <w:caps w:val="false"/>
                <w:smallCaps w:val="false"/>
                <w:sz w:val="20"/>
              </w:rPr>
              <w:t xml:space="preserve">Reference is made to Exhibits </w:t>
            </w:r>
            <w:hyperlink r:id="rId4">
              <w:r>
                <w:rPr>
                  <w:rStyle w:val="InternetLink"/>
                  <w:rFonts w:ascii="Times New Roman" w:hAnsi="Times New Roman"/>
                  <w:b/>
                  <w:caps w:val="false"/>
                  <w:smallCaps w:val="false"/>
                  <w:sz w:val="20"/>
                  <w:u w:val="single"/>
                </w:rPr>
                <w:t>3.1</w:t>
              </w:r>
            </w:hyperlink>
            <w:r>
              <w:rPr>
                <w:rFonts w:ascii="Times New Roman" w:hAnsi="Times New Roman"/>
                <w:caps w:val="false"/>
                <w:smallCaps w:val="false"/>
                <w:sz w:val="20"/>
              </w:rPr>
              <w:t> </w:t>
            </w:r>
            <w:r>
              <w:rPr>
                <w:rFonts w:ascii="Times New Roman" w:hAnsi="Times New Roman"/>
                <w:b/>
                <w:caps w:val="false"/>
                <w:smallCaps w:val="false"/>
                <w:sz w:val="20"/>
              </w:rPr>
              <w:t xml:space="preserve">and </w:t>
            </w:r>
            <w:hyperlink r:id="rId5">
              <w:r>
                <w:rPr>
                  <w:rStyle w:val="InternetLink"/>
                  <w:rFonts w:ascii="Times New Roman" w:hAnsi="Times New Roman"/>
                  <w:b/>
                  <w:caps w:val="false"/>
                  <w:smallCaps w:val="false"/>
                  <w:sz w:val="20"/>
                  <w:u w:val="single"/>
                </w:rPr>
                <w:t>3.2</w:t>
              </w:r>
            </w:hyperlink>
            <w:r>
              <w:rPr>
                <w:rFonts w:ascii="Times New Roman" w:hAnsi="Times New Roman"/>
                <w:b/>
                <w:caps w:val="false"/>
                <w:smallCaps w:val="false"/>
                <w:sz w:val="20"/>
              </w:rPr>
              <w:t>.</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4.2</w:t>
            </w:r>
          </w:p>
        </w:tc>
        <w:tc>
          <w:tcPr>
            <w:tcW w:w="9495" w:type="dxa"/>
            <w:tcBorders/>
            <w:vAlign w:val="center"/>
          </w:tcPr>
          <w:p>
            <w:pPr>
              <w:pStyle w:val="TableContents"/>
              <w:bidi w:val="0"/>
              <w:spacing w:before="0" w:after="0"/>
              <w:ind w:left="0" w:right="0" w:hanging="0"/>
              <w:jc w:val="left"/>
              <w:rPr/>
            </w:pPr>
            <w:hyperlink r:id="rId6">
              <w:r>
                <w:rPr>
                  <w:rStyle w:val="InternetLink"/>
                  <w:rFonts w:ascii="Times New Roman" w:hAnsi="Times New Roman"/>
                  <w:b/>
                  <w:caps w:val="false"/>
                  <w:smallCaps w:val="false"/>
                  <w:sz w:val="20"/>
                  <w:u w:val="single"/>
                </w:rPr>
                <w:t>Form of Common Stock Certificate (incorporated by reference to Exhibit 4.2 to the Form 10-Q filed on August 14, 2003).</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4.3</w:t>
            </w:r>
          </w:p>
        </w:tc>
        <w:tc>
          <w:tcPr>
            <w:tcW w:w="9495" w:type="dxa"/>
            <w:tcBorders/>
            <w:vAlign w:val="center"/>
          </w:tcPr>
          <w:p>
            <w:pPr>
              <w:pStyle w:val="TableContents"/>
              <w:bidi w:val="0"/>
              <w:spacing w:before="0" w:after="0"/>
              <w:ind w:left="0" w:right="0" w:hanging="0"/>
              <w:jc w:val="left"/>
              <w:rPr/>
            </w:pPr>
            <w:hyperlink r:id="rId7">
              <w:r>
                <w:rPr>
                  <w:rStyle w:val="InternetLink"/>
                  <w:rFonts w:ascii="Times New Roman" w:hAnsi="Times New Roman"/>
                  <w:b/>
                  <w:caps w:val="false"/>
                  <w:smallCaps w:val="false"/>
                  <w:sz w:val="20"/>
                  <w:u w:val="single"/>
                </w:rPr>
                <w:t>Description of Securities Registered Under Section 12 of the Securities Exchange Act of 1934, as amended. (incorporated by reference to Exhibit 4.3 to the Form 10-K filed on March 9, 2021).</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w:t>
            </w:r>
          </w:p>
        </w:tc>
        <w:tc>
          <w:tcPr>
            <w:tcW w:w="9495" w:type="dxa"/>
            <w:tcBorders/>
            <w:vAlign w:val="center"/>
          </w:tcPr>
          <w:p>
            <w:pPr>
              <w:pStyle w:val="TableContents"/>
              <w:bidi w:val="0"/>
              <w:spacing w:before="0" w:after="0"/>
              <w:ind w:left="0" w:right="0" w:hanging="0"/>
              <w:jc w:val="left"/>
              <w:rPr/>
            </w:pPr>
            <w:hyperlink r:id="rId8">
              <w:r>
                <w:rPr>
                  <w:rStyle w:val="InternetLink"/>
                  <w:rFonts w:ascii="Times New Roman" w:hAnsi="Times New Roman"/>
                  <w:b/>
                  <w:caps w:val="false"/>
                  <w:smallCaps w:val="false"/>
                  <w:sz w:val="20"/>
                  <w:u w:val="single"/>
                </w:rPr>
                <w:t>Amended and Restated License Agreement, dated September 1, 2001, between Liquidmetal Technologies, Inc. and California Institute of Technology (incorporated by reference to Exhibit 10.1 to the Registration Statement on Form S-1 filed on November 20, 2001 (Registration No. 333-73716)).</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10.2**</w:t>
            </w:r>
          </w:p>
        </w:tc>
        <w:tc>
          <w:tcPr>
            <w:tcW w:w="9495" w:type="dxa"/>
            <w:tcBorders/>
            <w:vAlign w:val="center"/>
          </w:tcPr>
          <w:p>
            <w:pPr>
              <w:pStyle w:val="TableContents"/>
              <w:bidi w:val="0"/>
              <w:spacing w:before="0" w:after="0"/>
              <w:ind w:left="0" w:right="0" w:hanging="0"/>
              <w:jc w:val="left"/>
              <w:rPr/>
            </w:pPr>
            <w:hyperlink r:id="rId9">
              <w:r>
                <w:rPr>
                  <w:rStyle w:val="InternetLink"/>
                  <w:rFonts w:ascii="Times New Roman" w:hAnsi="Times New Roman"/>
                  <w:b/>
                  <w:caps w:val="false"/>
                  <w:smallCaps w:val="false"/>
                  <w:sz w:val="20"/>
                  <w:u w:val="single"/>
                </w:rPr>
                <w:t>Master Transaction Agreement, dated August 5, 2010, among Apple Inc., Liquidmetal Technologies, Inc., Liquidmetal Coatings, LLC and Crucible Intellectual Property, LLC (incorporated by reference from Exhibit 10.3 to the Form 10-Q filed on November 4, 2010).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10.3*</w:t>
            </w:r>
          </w:p>
        </w:tc>
        <w:tc>
          <w:tcPr>
            <w:tcW w:w="9495" w:type="dxa"/>
            <w:tcBorders/>
            <w:vAlign w:val="center"/>
          </w:tcPr>
          <w:p>
            <w:pPr>
              <w:pStyle w:val="TableContents"/>
              <w:bidi w:val="0"/>
              <w:spacing w:before="0" w:after="0"/>
              <w:ind w:left="0" w:right="0" w:hanging="0"/>
              <w:jc w:val="left"/>
              <w:rPr/>
            </w:pPr>
            <w:hyperlink r:id="rId10">
              <w:r>
                <w:rPr>
                  <w:rStyle w:val="InternetLink"/>
                  <w:rFonts w:ascii="Times New Roman" w:hAnsi="Times New Roman"/>
                  <w:b/>
                  <w:caps w:val="false"/>
                  <w:smallCaps w:val="false"/>
                  <w:sz w:val="20"/>
                  <w:u w:val="single"/>
                </w:rPr>
                <w:t>Liquidmetal Technologies, Inc. 2012 Equity Incentive Plan (incorporated by reference from Exhibit 10.1 to the Form 8-K filed on July 2, 2012).</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10.4</w:t>
            </w:r>
          </w:p>
        </w:tc>
        <w:tc>
          <w:tcPr>
            <w:tcW w:w="9495" w:type="dxa"/>
            <w:tcBorders/>
            <w:vAlign w:val="center"/>
          </w:tcPr>
          <w:p>
            <w:pPr>
              <w:pStyle w:val="TableContents"/>
              <w:bidi w:val="0"/>
              <w:spacing w:before="0" w:after="0"/>
              <w:ind w:left="0" w:right="0" w:hanging="0"/>
              <w:jc w:val="left"/>
              <w:rPr/>
            </w:pPr>
            <w:hyperlink r:id="rId11">
              <w:r>
                <w:rPr>
                  <w:rStyle w:val="InternetLink"/>
                  <w:rFonts w:ascii="Times New Roman" w:hAnsi="Times New Roman"/>
                  <w:b/>
                  <w:caps w:val="false"/>
                  <w:smallCaps w:val="false"/>
                  <w:sz w:val="20"/>
                  <w:u w:val="single"/>
                </w:rPr>
                <w:t>Amendment Number One to Master Transaction Agreement and Other Transaction Documents, dated June 15, 2012, among Apple Inc., Liquidmetal Technologies, Inc.,</w:t>
              </w:r>
            </w:hyperlink>
            <w:hyperlink r:id="rId12">
              <w:r>
                <w:rPr>
                  <w:rStyle w:val="InternetLink"/>
                  <w:rFonts w:ascii="Times New Roman" w:hAnsi="Times New Roman"/>
                  <w:caps w:val="false"/>
                  <w:smallCaps w:val="false"/>
                  <w:sz w:val="20"/>
                  <w:u w:val="single"/>
                </w:rPr>
                <w:t> </w:t>
              </w:r>
            </w:hyperlink>
            <w:hyperlink r:id="rId13">
              <w:r>
                <w:rPr>
                  <w:rStyle w:val="InternetLink"/>
                  <w:rFonts w:ascii="Times New Roman" w:hAnsi="Times New Roman"/>
                  <w:b/>
                  <w:caps w:val="false"/>
                  <w:smallCaps w:val="false"/>
                  <w:sz w:val="20"/>
                  <w:u w:val="single"/>
                </w:rPr>
                <w:t>Liquidmetal Coatings, LLC and Crucible Intellectual Property, LLC. (incorporated by reference from Exhibit 10.41 to the Registration Statement on Form S-1 (Amendment No. 1) filed on August 3, 2012).</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10.5</w:t>
            </w:r>
          </w:p>
        </w:tc>
        <w:tc>
          <w:tcPr>
            <w:tcW w:w="9495" w:type="dxa"/>
            <w:tcBorders/>
            <w:vAlign w:val="center"/>
          </w:tcPr>
          <w:p>
            <w:pPr>
              <w:pStyle w:val="TableContents"/>
              <w:bidi w:val="0"/>
              <w:spacing w:before="0" w:after="0"/>
              <w:ind w:left="0" w:right="0" w:hanging="0"/>
              <w:jc w:val="left"/>
              <w:rPr/>
            </w:pPr>
            <w:hyperlink r:id="rId14">
              <w:r>
                <w:rPr>
                  <w:rStyle w:val="InternetLink"/>
                  <w:rFonts w:ascii="Times New Roman" w:hAnsi="Times New Roman"/>
                  <w:b/>
                  <w:caps w:val="false"/>
                  <w:smallCaps w:val="false"/>
                  <w:sz w:val="20"/>
                  <w:u w:val="single"/>
                </w:rPr>
                <w:t>Amendment Number Two to Master Transaction Agreement and Other Transaction Documents, dated May 19, 2014, among Apple Inc., Liquidmetal Technologies, Inc.,</w:t>
              </w:r>
            </w:hyperlink>
            <w:hyperlink r:id="rId15">
              <w:r>
                <w:rPr>
                  <w:rStyle w:val="InternetLink"/>
                  <w:rFonts w:ascii="Times New Roman" w:hAnsi="Times New Roman"/>
                  <w:caps w:val="false"/>
                  <w:smallCaps w:val="false"/>
                  <w:sz w:val="20"/>
                  <w:u w:val="single"/>
                </w:rPr>
                <w:t> </w:t>
              </w:r>
            </w:hyperlink>
            <w:hyperlink r:id="rId16">
              <w:r>
                <w:rPr>
                  <w:rStyle w:val="InternetLink"/>
                  <w:rFonts w:ascii="Times New Roman" w:hAnsi="Times New Roman"/>
                  <w:b/>
                  <w:caps w:val="false"/>
                  <w:smallCaps w:val="false"/>
                  <w:sz w:val="20"/>
                  <w:u w:val="single"/>
                </w:rPr>
                <w:t>Liquidmetal Coatings, LLC and Crucible Intellectual Property, LLC. (incorporated by reference from Exhibit 10.1 on the Form 10-Q filed on August 12, 2014).</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10.6*</w:t>
            </w:r>
          </w:p>
        </w:tc>
        <w:tc>
          <w:tcPr>
            <w:tcW w:w="9495"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Liquidmetal Technologies, Inc. 2015 Equity Incentive Plan (incorporated by reference from Exhibit 10.1 to the Form 8-K filed on February 9, 2015).</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10.7</w:t>
            </w:r>
          </w:p>
        </w:tc>
        <w:tc>
          <w:tcPr>
            <w:tcW w:w="9495"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Amendment Number Three to Master Transaction Agreement and Other Transaction Documents, dated June 17, 2015, among Apple Inc., Liquidmetal Technologies, Inc., Liquidmetal Coatings, LLC and Crucible Intellectual Property, LLC (incorporated by reference from Exhibit 10.1 on the Form 10-Q filed on August 6, 2015).</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10.8</w:t>
            </w:r>
          </w:p>
        </w:tc>
        <w:tc>
          <w:tcPr>
            <w:tcW w:w="9495"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Form of Director and Officer Indemnification Agreement (incorporated by reference from Exhibit 10.1 to the Form 8-K filed on October 5, 2015).</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10.9</w:t>
            </w:r>
          </w:p>
        </w:tc>
        <w:tc>
          <w:tcPr>
            <w:tcW w:w="9495"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Form of Amended and Restated Director and Officer Indemnification Agreement (incorporated by reference from Exhibit 10.2 to the Form 8-K filed on October 5, 2015).</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10.10</w:t>
            </w:r>
          </w:p>
        </w:tc>
        <w:tc>
          <w:tcPr>
            <w:tcW w:w="9495"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Stock Purchase Warrant, dated March 10, 2016, issued to Liquidmetal Technology Limited by Liquidmetal Technologies, Inc. (incorporated by reference from Exhibit 4.1 to the Form 8-K filed on March 14, 2016).</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10.11</w:t>
            </w:r>
          </w:p>
        </w:tc>
        <w:tc>
          <w:tcPr>
            <w:tcW w:w="9495"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Parallel License Agreement, dated March 10, 2016, between Liquidmetal Technologies, Inc. and DongGuan Eontec Co., Ltd. (incorporated by reference from Exhibit 10.2 to the Form 8-K filed on March 14, 2016).</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10.12</w:t>
            </w:r>
          </w:p>
        </w:tc>
        <w:tc>
          <w:tcPr>
            <w:tcW w:w="9495" w:type="dxa"/>
            <w:tcBorders/>
            <w:vAlign w:val="center"/>
          </w:tcPr>
          <w:p>
            <w:pPr>
              <w:pStyle w:val="TableContents"/>
              <w:bidi w:val="0"/>
              <w:spacing w:before="0" w:after="283"/>
              <w:jc w:val="left"/>
              <w:rPr/>
            </w:pPr>
            <w:hyperlink r:id="rId23">
              <w:r>
                <w:rPr>
                  <w:rStyle w:val="InternetLink"/>
                  <w:u w:val="single"/>
                </w:rPr>
                <w:t>Shareholders Agreement, dated July 4, 2025, among Liquidmetal Asia Holdings Limited, Mr. Chong Liu, and Hangzhou Feifeng Liquidmetal Co., Ltd.</w:t>
              </w:r>
            </w:hyperlink>
            <w:hyperlink r:id="rId24">
              <w:r>
                <w:rPr>
                  <w:rStyle w:val="InternetLink"/>
                </w:rPr>
                <w:t xml:space="preserve"> (incorporated by reference from Exhibit 10.1 to the Form 8-K filed on July 4, 2025).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10.13**</w:t>
            </w:r>
          </w:p>
        </w:tc>
        <w:tc>
          <w:tcPr>
            <w:tcW w:w="9685" w:type="dxa"/>
            <w:tcBorders/>
            <w:vAlign w:val="center"/>
          </w:tcPr>
          <w:p>
            <w:pPr>
              <w:pStyle w:val="TableContents"/>
              <w:bidi w:val="0"/>
              <w:spacing w:before="0" w:after="283"/>
              <w:jc w:val="left"/>
              <w:rPr/>
            </w:pPr>
            <w:hyperlink r:id="rId25">
              <w:r>
                <w:rPr>
                  <w:rStyle w:val="InternetLink"/>
                  <w:u w:val="single"/>
                </w:rPr>
                <w:t>Manufacture Supply Agreement dated January 12, 2022, between Liquidmetal Technologies, Inc. and Dongguan Yihao Metal Materials Technology Co. Ltd. (incorporated by reference from Exhibit 10.36 to the Form 8-K filed on January 19, 2022).</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10.14</w:t>
            </w:r>
          </w:p>
        </w:tc>
        <w:tc>
          <w:tcPr>
            <w:tcW w:w="9685" w:type="dxa"/>
            <w:tcBorders/>
            <w:vAlign w:val="center"/>
          </w:tcPr>
          <w:p>
            <w:pPr>
              <w:pStyle w:val="TableContents"/>
              <w:bidi w:val="0"/>
              <w:spacing w:before="0" w:after="283"/>
              <w:jc w:val="left"/>
              <w:rPr/>
            </w:pPr>
            <w:hyperlink r:id="rId26">
              <w:r>
                <w:rPr>
                  <w:rStyle w:val="InternetLink"/>
                  <w:u w:val="single"/>
                </w:rPr>
                <w:t>Liquidmetal Golf License Agreement dated January 13, 2022, between Liquidmetal Technologies, Inc. and Amorphous Technologies Japan, Inc. (incorporated by reference from Exhibit 10.32 to the Form 8-K filed on January 19, 2022).</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10.15</w:t>
            </w:r>
          </w:p>
        </w:tc>
        <w:tc>
          <w:tcPr>
            <w:tcW w:w="9685" w:type="dxa"/>
            <w:tcBorders/>
            <w:vAlign w:val="center"/>
          </w:tcPr>
          <w:p>
            <w:pPr>
              <w:pStyle w:val="TableContents"/>
              <w:bidi w:val="0"/>
              <w:spacing w:before="0" w:after="283"/>
              <w:jc w:val="left"/>
              <w:rPr/>
            </w:pPr>
            <w:hyperlink r:id="rId27">
              <w:r>
                <w:rPr>
                  <w:rStyle w:val="InternetLink"/>
                  <w:u w:val="single"/>
                </w:rPr>
                <w:t>Industrial/Commercial Multi-Tenant Lease dated March 26, 2025, between 20321 Valencia LLC (Lessor) and MatterHackers, Inc. (Lessee)</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19.1</w:t>
            </w:r>
          </w:p>
        </w:tc>
        <w:tc>
          <w:tcPr>
            <w:tcW w:w="9685" w:type="dxa"/>
            <w:tcBorders/>
            <w:vAlign w:val="center"/>
          </w:tcPr>
          <w:p>
            <w:pPr>
              <w:pStyle w:val="TableContents"/>
              <w:bidi w:val="0"/>
              <w:spacing w:before="0" w:after="0"/>
              <w:ind w:left="0" w:right="0" w:hanging="0"/>
              <w:jc w:val="left"/>
              <w:rPr/>
            </w:pPr>
            <w:hyperlink w:anchor="ex_929943.htm">
              <w:r>
                <w:rPr>
                  <w:rStyle w:val="InternetLink"/>
                  <w:rFonts w:ascii="Times New Roman" w:hAnsi="Times New Roman"/>
                  <w:caps w:val="false"/>
                  <w:smallCaps w:val="false"/>
                  <w:sz w:val="20"/>
                </w:rPr>
                <w:t>Insider Trading Policy</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19.2</w:t>
            </w:r>
          </w:p>
        </w:tc>
        <w:tc>
          <w:tcPr>
            <w:tcW w:w="9685" w:type="dxa"/>
            <w:tcBorders/>
            <w:vAlign w:val="center"/>
          </w:tcPr>
          <w:p>
            <w:pPr>
              <w:pStyle w:val="TableContents"/>
              <w:bidi w:val="0"/>
              <w:spacing w:before="0" w:after="0"/>
              <w:ind w:left="0" w:right="0" w:hanging="0"/>
              <w:jc w:val="left"/>
              <w:rPr/>
            </w:pPr>
            <w:hyperlink w:anchor="ex_929944.htm">
              <w:r>
                <w:rPr>
                  <w:rStyle w:val="InternetLink"/>
                  <w:rFonts w:ascii="Times New Roman" w:hAnsi="Times New Roman"/>
                  <w:caps w:val="false"/>
                  <w:smallCaps w:val="false"/>
                  <w:sz w:val="20"/>
                </w:rPr>
                <w:t>Change of Control Agreement, dated March 12, 2024 between Liquidmetal Technologies, Inc. and Mr. Tony Chung and Mr. Isaac Bresnick</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21.1</w:t>
            </w:r>
          </w:p>
        </w:tc>
        <w:tc>
          <w:tcPr>
            <w:tcW w:w="9685" w:type="dxa"/>
            <w:tcBorders/>
            <w:vAlign w:val="center"/>
          </w:tcPr>
          <w:p>
            <w:pPr>
              <w:pStyle w:val="TableContents"/>
              <w:bidi w:val="0"/>
              <w:spacing w:before="0" w:after="0"/>
              <w:ind w:left="0" w:right="0" w:hanging="0"/>
              <w:jc w:val="left"/>
              <w:rPr/>
            </w:pPr>
            <w:hyperlink w:anchor="ex_929945.htm">
              <w:r>
                <w:rPr>
                  <w:rStyle w:val="InternetLink"/>
                  <w:rFonts w:ascii="Times New Roman" w:hAnsi="Times New Roman"/>
                  <w:caps w:val="false"/>
                  <w:smallCaps w:val="false"/>
                  <w:sz w:val="20"/>
                </w:rPr>
                <w:t>Subsidiaries of the Registrant</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23.1</w:t>
            </w:r>
          </w:p>
        </w:tc>
        <w:tc>
          <w:tcPr>
            <w:tcW w:w="9685" w:type="dxa"/>
            <w:tcBorders/>
            <w:vAlign w:val="center"/>
          </w:tcPr>
          <w:p>
            <w:pPr>
              <w:pStyle w:val="TableContents"/>
              <w:bidi w:val="0"/>
              <w:spacing w:before="0" w:after="0"/>
              <w:ind w:left="0" w:right="0" w:hanging="0"/>
              <w:jc w:val="left"/>
              <w:rPr/>
            </w:pPr>
            <w:hyperlink w:anchor="ex_929881.htm">
              <w:r>
                <w:rPr>
                  <w:rStyle w:val="InternetLink"/>
                  <w:rFonts w:ascii="Times New Roman" w:hAnsi="Times New Roman"/>
                  <w:caps w:val="false"/>
                  <w:smallCaps w:val="false"/>
                  <w:sz w:val="20"/>
                </w:rPr>
                <w:t>Consent of BCRG Group</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24.1</w:t>
            </w:r>
          </w:p>
        </w:tc>
        <w:tc>
          <w:tcPr>
            <w:tcW w:w="9685"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u w:val="single"/>
                </w:rPr>
                <w:t>Power of Attorney relating to subsequent amendments (included on the signature page(s) of this report).</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31.1</w:t>
            </w:r>
          </w:p>
        </w:tc>
        <w:tc>
          <w:tcPr>
            <w:tcW w:w="9685" w:type="dxa"/>
            <w:tcBorders/>
            <w:vAlign w:val="center"/>
          </w:tcPr>
          <w:p>
            <w:pPr>
              <w:pStyle w:val="TableContents"/>
              <w:bidi w:val="0"/>
              <w:spacing w:before="0" w:after="0"/>
              <w:ind w:left="0" w:right="0" w:hanging="0"/>
              <w:jc w:val="left"/>
              <w:rPr/>
            </w:pPr>
            <w:hyperlink w:anchor="ex_929882.htm">
              <w:r>
                <w:rPr>
                  <w:rStyle w:val="InternetLink"/>
                  <w:rFonts w:ascii="Times New Roman" w:hAnsi="Times New Roman"/>
                  <w:caps w:val="false"/>
                  <w:smallCaps w:val="false"/>
                  <w:sz w:val="20"/>
                </w:rPr>
                <w:t>Certification of Principal Executive Officer and Principal Financial Officer pursuant to Rule 13a-14(a) or 15d-14(a) of the Securities Exchange Act of 1934, as amended.</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32.1</w:t>
            </w:r>
          </w:p>
        </w:tc>
        <w:tc>
          <w:tcPr>
            <w:tcW w:w="9685" w:type="dxa"/>
            <w:tcBorders/>
            <w:vAlign w:val="center"/>
          </w:tcPr>
          <w:p>
            <w:pPr>
              <w:pStyle w:val="TableContents"/>
              <w:bidi w:val="0"/>
              <w:spacing w:before="0" w:after="0"/>
              <w:ind w:left="0" w:right="0" w:hanging="0"/>
              <w:jc w:val="left"/>
              <w:rPr/>
            </w:pPr>
            <w:hyperlink w:anchor="ex_929883.htm">
              <w:r>
                <w:rPr>
                  <w:rStyle w:val="InternetLink"/>
                  <w:rFonts w:ascii="Times New Roman" w:hAnsi="Times New Roman"/>
                  <w:caps w:val="false"/>
                  <w:smallCaps w:val="false"/>
                  <w:sz w:val="20"/>
                </w:rPr>
                <w:t>Certification pursuant to 18 U.S.C. Section 1350.</w:t>
              </w:r>
            </w:hyperlink>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101</w:t>
            </w:r>
          </w:p>
        </w:tc>
        <w:tc>
          <w:tcPr>
            <w:tcW w:w="9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financial statements from Liquidmetal Technologies, Inc.’s Annual Report on Form 10-K for the year ended December 31, 2025, formatted in Inline XBRL (eXtensible Business Reporting Language): (i) Consolidated Balance Sheets, (ii) Consolidated Statements of Operations, (iii) Consolidated Statements of Other Comprehensive Loss, (iv) Consolidated Statements of Shareholder’s Equity, (v) Consolidated Statements of Cash Flows, (vi) Notes to Consolidated Financial Statements, and (vii) information set forth in Part I, Item IC, Part II, Item 9B, Part III, Item 10 and Part III, Item 11, tagged as blocks of text.</w:t>
            </w:r>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104</w:t>
            </w:r>
          </w:p>
        </w:tc>
        <w:tc>
          <w:tcPr>
            <w:tcW w:w="9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Denotes a management contract or compensatory plan or arrangement.</w:t>
            </w:r>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left"/>
              <w:rPr/>
            </w:pPr>
            <w:r>
              <w:rPr/>
              <w:t> </w:t>
            </w:r>
          </w:p>
        </w:tc>
      </w:tr>
      <w:tr>
        <w:trPr/>
        <w:tc>
          <w:tcPr>
            <w:tcW w:w="520"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Portions of this exhibit have been omitted pursuant to a confidential treatment request. Omitted information has been filed separately with the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9" w:name="item16_summary"/>
      <w:bookmarkEnd w:id="29"/>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455"/>
        <w:gridCol w:w="3500"/>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Liquidmetal Technologies, Inc.</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Financial Officer)</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30" w:name="poa"/>
      <w:bookmarkEnd w:id="30"/>
      <w:r>
        <w:rPr>
          <w:rFonts w:ascii="Times New Roman" w:hAnsi="Times New Roman"/>
          <w:caps w:val="false"/>
          <w:smallCaps w:val="false"/>
          <w:sz w:val="20"/>
        </w:rPr>
        <w:t>KNOW ALL THESE PERSONS BY THESE PRESENTS, that each person whose signature appears below constitutes and appoints Tony Chung and each of them, jointly and severally, his attorneys-in-fact, each with full power of substitution, for him in any and all capacities, to sign any and all amendments to this Report on Form 10-K,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on Form 10-K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0" w:type="dxa"/>
        <w:tblLayout w:type="fixed"/>
        <w:tblCellMar>
          <w:top w:w="0" w:type="dxa"/>
          <w:left w:w="0" w:type="dxa"/>
          <w:bottom w:w="28" w:type="dxa"/>
          <w:right w:w="0" w:type="dxa"/>
        </w:tblCellMar>
      </w:tblPr>
      <w:tblGrid>
        <w:gridCol w:w="1700"/>
        <w:gridCol w:w="60"/>
        <w:gridCol w:w="3500"/>
        <w:gridCol w:w="60"/>
        <w:gridCol w:w="1310"/>
      </w:tblGrid>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Financial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Lugee Li</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Lugee Li</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Isaac Bresnick</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Isaac Bresnick</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Vincent Carrubba</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Carrubba</w:t>
            </w:r>
          </w:p>
        </w:tc>
        <w:tc>
          <w:tcPr>
            <w:tcW w:w="6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Certifications provided as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60"/>
        <w:gridCol w:w="440"/>
      </w:tblGrid>
      <w:tr>
        <w:trPr/>
        <w:tc>
          <w:tcPr>
            <w:tcW w:w="62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62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ind w:left="0" w:right="0" w:hanging="0"/>
              <w:jc w:val="left"/>
              <w:rPr/>
            </w:pPr>
            <w:hyperlink w:anchor="auditors_report">
              <w:r>
                <w:rPr>
                  <w:rStyle w:val="InternetLink"/>
                  <w:rFonts w:ascii="Times New Roman" w:hAnsi="Times New Roman"/>
                  <w:caps w:val="false"/>
                  <w:smallCaps w:val="false"/>
                  <w:sz w:val="20"/>
                  <w:u w:val="single"/>
                </w:rPr>
                <w:t>Report of Independent Registered Public Accounting Firm</w:t>
              </w:r>
            </w:hyperlink>
            <w:r>
              <w:rPr>
                <w:rFonts w:ascii="Times New Roman" w:hAnsi="Times New Roman"/>
                <w:caps w:val="false"/>
                <w:smallCaps w:val="false"/>
                <w:sz w:val="20"/>
              </w:rPr>
              <w:t> (</w:t>
            </w:r>
            <w:r>
              <w:rPr>
                <w:rFonts w:ascii="Times New Roman" w:hAnsi="Times New Roman"/>
                <w:i/>
                <w:caps w:val="false"/>
                <w:smallCaps w:val="false"/>
                <w:sz w:val="20"/>
              </w:rPr>
              <w:t>PCAOB ID 7158</w:t>
            </w:r>
            <w:r>
              <w:rPr>
                <w:rFonts w:ascii="Times New Roman" w:hAnsi="Times New Roman"/>
                <w:caps w:val="false"/>
                <w:smallCaps w:val="false"/>
                <w:sz w:val="20"/>
              </w:rPr>
              <w:t>)</w:t>
            </w:r>
          </w:p>
        </w:tc>
        <w:tc>
          <w:tcPr>
            <w:tcW w:w="440" w:type="dxa"/>
            <w:tcBorders/>
            <w:vAlign w:val="center"/>
          </w:tcPr>
          <w:p>
            <w:pPr>
              <w:pStyle w:val="TableContents"/>
              <w:bidi w:val="0"/>
              <w:spacing w:before="0" w:after="0"/>
              <w:ind w:left="0" w:right="0" w:hanging="0"/>
              <w:jc w:val="center"/>
              <w:rPr/>
            </w:pPr>
            <w:hyperlink w:anchor="auditors_report">
              <w:r>
                <w:rPr>
                  <w:rStyle w:val="InternetLink"/>
                  <w:rFonts w:ascii="Times New Roman" w:hAnsi="Times New Roman"/>
                  <w:caps w:val="false"/>
                  <w:smallCaps w:val="false"/>
                  <w:sz w:val="20"/>
                  <w:u w:val="single"/>
                </w:rPr>
                <w:t>40</w:t>
              </w:r>
            </w:hyperlink>
          </w:p>
        </w:tc>
      </w:tr>
      <w:tr>
        <w:trPr/>
        <w:tc>
          <w:tcPr>
            <w:tcW w:w="6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Financial Statements:</w:t>
            </w:r>
          </w:p>
        </w:tc>
        <w:tc>
          <w:tcPr>
            <w:tcW w:w="44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ind w:left="180" w:right="0" w:hanging="0"/>
              <w:jc w:val="left"/>
              <w:rPr/>
            </w:pPr>
            <w:hyperlink w:anchor="balance_sheets">
              <w:r>
                <w:rPr>
                  <w:rStyle w:val="InternetLink"/>
                  <w:rFonts w:ascii="Times New Roman" w:hAnsi="Times New Roman"/>
                  <w:caps w:val="false"/>
                  <w:smallCaps w:val="false"/>
                  <w:sz w:val="20"/>
                  <w:u w:val="single"/>
                </w:rPr>
                <w:t>Consolidated Balance Sheets</w:t>
              </w:r>
            </w:hyperlink>
          </w:p>
        </w:tc>
        <w:tc>
          <w:tcPr>
            <w:tcW w:w="440" w:type="dxa"/>
            <w:tcBorders/>
            <w:vAlign w:val="center"/>
          </w:tcPr>
          <w:p>
            <w:pPr>
              <w:pStyle w:val="TableContents"/>
              <w:bidi w:val="0"/>
              <w:spacing w:before="0" w:after="0"/>
              <w:ind w:left="0" w:right="0" w:hanging="0"/>
              <w:jc w:val="center"/>
              <w:rPr/>
            </w:pPr>
            <w:hyperlink w:anchor="balance_sheets">
              <w:r>
                <w:rPr>
                  <w:rStyle w:val="InternetLink"/>
                  <w:rFonts w:ascii="Times New Roman" w:hAnsi="Times New Roman"/>
                  <w:caps w:val="false"/>
                  <w:smallCaps w:val="false"/>
                  <w:sz w:val="20"/>
                  <w:u w:val="single"/>
                </w:rPr>
                <w:t>41</w:t>
              </w:r>
            </w:hyperlink>
          </w:p>
        </w:tc>
      </w:tr>
      <w:tr>
        <w:trPr/>
        <w:tc>
          <w:tcPr>
            <w:tcW w:w="6260" w:type="dxa"/>
            <w:tcBorders/>
            <w:vAlign w:val="center"/>
          </w:tcPr>
          <w:p>
            <w:pPr>
              <w:pStyle w:val="TableContents"/>
              <w:bidi w:val="0"/>
              <w:spacing w:before="0" w:after="0"/>
              <w:ind w:left="180" w:right="0" w:hanging="0"/>
              <w:jc w:val="left"/>
              <w:rPr/>
            </w:pPr>
            <w:hyperlink w:anchor="operations">
              <w:r>
                <w:rPr>
                  <w:rStyle w:val="InternetLink"/>
                  <w:rFonts w:ascii="Times New Roman" w:hAnsi="Times New Roman"/>
                  <w:caps w:val="false"/>
                  <w:smallCaps w:val="false"/>
                  <w:sz w:val="20"/>
                  <w:u w:val="single"/>
                </w:rPr>
                <w:t>Consolidated Statements of Operations</w:t>
              </w:r>
            </w:hyperlink>
          </w:p>
        </w:tc>
        <w:tc>
          <w:tcPr>
            <w:tcW w:w="440" w:type="dxa"/>
            <w:tcBorders/>
            <w:vAlign w:val="center"/>
          </w:tcPr>
          <w:p>
            <w:pPr>
              <w:pStyle w:val="TableContents"/>
              <w:bidi w:val="0"/>
              <w:spacing w:before="0" w:after="0"/>
              <w:ind w:left="0" w:right="0" w:hanging="0"/>
              <w:jc w:val="center"/>
              <w:rPr/>
            </w:pPr>
            <w:hyperlink w:anchor="operations">
              <w:r>
                <w:rPr>
                  <w:rStyle w:val="InternetLink"/>
                  <w:rFonts w:ascii="Times New Roman" w:hAnsi="Times New Roman"/>
                  <w:caps w:val="false"/>
                  <w:smallCaps w:val="false"/>
                  <w:sz w:val="20"/>
                  <w:u w:val="single"/>
                </w:rPr>
                <w:t>42</w:t>
              </w:r>
            </w:hyperlink>
          </w:p>
        </w:tc>
      </w:tr>
      <w:tr>
        <w:trPr/>
        <w:tc>
          <w:tcPr>
            <w:tcW w:w="6260" w:type="dxa"/>
            <w:tcBorders/>
            <w:vAlign w:val="center"/>
          </w:tcPr>
          <w:p>
            <w:pPr>
              <w:pStyle w:val="TableContents"/>
              <w:bidi w:val="0"/>
              <w:spacing w:before="0" w:after="0"/>
              <w:ind w:left="180" w:right="0" w:hanging="0"/>
              <w:jc w:val="left"/>
              <w:rPr/>
            </w:pPr>
            <w:hyperlink w:anchor="comp_loss">
              <w:r>
                <w:rPr>
                  <w:rStyle w:val="InternetLink"/>
                  <w:rFonts w:ascii="Times New Roman" w:hAnsi="Times New Roman"/>
                  <w:caps w:val="false"/>
                  <w:smallCaps w:val="false"/>
                  <w:sz w:val="20"/>
                  <w:u w:val="single"/>
                </w:rPr>
                <w:t>Consolidated Statements of Comprehensive Loss</w:t>
              </w:r>
            </w:hyperlink>
          </w:p>
        </w:tc>
        <w:tc>
          <w:tcPr>
            <w:tcW w:w="440" w:type="dxa"/>
            <w:tcBorders/>
            <w:vAlign w:val="center"/>
          </w:tcPr>
          <w:p>
            <w:pPr>
              <w:pStyle w:val="TableContents"/>
              <w:bidi w:val="0"/>
              <w:spacing w:before="0" w:after="0"/>
              <w:ind w:left="0" w:right="0" w:hanging="0"/>
              <w:jc w:val="center"/>
              <w:rPr/>
            </w:pPr>
            <w:hyperlink w:anchor="comp_loss">
              <w:r>
                <w:rPr>
                  <w:rStyle w:val="InternetLink"/>
                  <w:rFonts w:ascii="Times New Roman" w:hAnsi="Times New Roman"/>
                  <w:caps w:val="false"/>
                  <w:smallCaps w:val="false"/>
                  <w:sz w:val="20"/>
                  <w:u w:val="single"/>
                </w:rPr>
                <w:t>43</w:t>
              </w:r>
            </w:hyperlink>
          </w:p>
        </w:tc>
      </w:tr>
      <w:tr>
        <w:trPr/>
        <w:tc>
          <w:tcPr>
            <w:tcW w:w="6260" w:type="dxa"/>
            <w:tcBorders/>
            <w:vAlign w:val="center"/>
          </w:tcPr>
          <w:p>
            <w:pPr>
              <w:pStyle w:val="TableContents"/>
              <w:bidi w:val="0"/>
              <w:spacing w:before="0" w:after="0"/>
              <w:ind w:left="180" w:right="0" w:hanging="0"/>
              <w:jc w:val="left"/>
              <w:rPr/>
            </w:pPr>
            <w:hyperlink w:anchor="stockholders_equity">
              <w:r>
                <w:rPr>
                  <w:rStyle w:val="InternetLink"/>
                  <w:rFonts w:ascii="Times New Roman" w:hAnsi="Times New Roman"/>
                  <w:caps w:val="false"/>
                  <w:smallCaps w:val="false"/>
                  <w:sz w:val="20"/>
                  <w:u w:val="single"/>
                </w:rPr>
                <w:t>Consolidated Statements of Shareholders’ Equity</w:t>
              </w:r>
            </w:hyperlink>
          </w:p>
        </w:tc>
        <w:tc>
          <w:tcPr>
            <w:tcW w:w="440" w:type="dxa"/>
            <w:tcBorders/>
            <w:vAlign w:val="center"/>
          </w:tcPr>
          <w:p>
            <w:pPr>
              <w:pStyle w:val="TableContents"/>
              <w:bidi w:val="0"/>
              <w:spacing w:before="0" w:after="0"/>
              <w:ind w:left="0" w:right="0" w:hanging="0"/>
              <w:jc w:val="center"/>
              <w:rPr/>
            </w:pPr>
            <w:hyperlink w:anchor="stockholders_equity">
              <w:r>
                <w:rPr>
                  <w:rStyle w:val="InternetLink"/>
                  <w:rFonts w:ascii="Times New Roman" w:hAnsi="Times New Roman"/>
                  <w:caps w:val="false"/>
                  <w:smallCaps w:val="false"/>
                  <w:sz w:val="20"/>
                  <w:u w:val="single"/>
                </w:rPr>
                <w:t>44</w:t>
              </w:r>
            </w:hyperlink>
          </w:p>
        </w:tc>
      </w:tr>
      <w:tr>
        <w:trPr/>
        <w:tc>
          <w:tcPr>
            <w:tcW w:w="6260" w:type="dxa"/>
            <w:tcBorders/>
            <w:vAlign w:val="center"/>
          </w:tcPr>
          <w:p>
            <w:pPr>
              <w:pStyle w:val="TableContents"/>
              <w:bidi w:val="0"/>
              <w:spacing w:before="0" w:after="0"/>
              <w:ind w:left="180" w:right="0" w:hanging="0"/>
              <w:jc w:val="left"/>
              <w:rPr/>
            </w:pPr>
            <w:hyperlink w:anchor="cash_flows">
              <w:r>
                <w:rPr>
                  <w:rStyle w:val="InternetLink"/>
                  <w:rFonts w:ascii="Times New Roman" w:hAnsi="Times New Roman"/>
                  <w:caps w:val="false"/>
                  <w:smallCaps w:val="false"/>
                  <w:sz w:val="20"/>
                  <w:u w:val="single"/>
                </w:rPr>
                <w:t>Consolidated Statements of Cash Flows</w:t>
              </w:r>
            </w:hyperlink>
          </w:p>
        </w:tc>
        <w:tc>
          <w:tcPr>
            <w:tcW w:w="440"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u w:val="single"/>
                </w:rPr>
                <w:t>45</w:t>
              </w:r>
            </w:hyperlink>
          </w:p>
        </w:tc>
      </w:tr>
      <w:tr>
        <w:trPr/>
        <w:tc>
          <w:tcPr>
            <w:tcW w:w="6260" w:type="dxa"/>
            <w:tcBorders/>
            <w:vAlign w:val="center"/>
          </w:tcPr>
          <w:p>
            <w:pPr>
              <w:pStyle w:val="TableContents"/>
              <w:bidi w:val="0"/>
              <w:spacing w:before="0" w:after="0"/>
              <w:ind w:left="180" w:right="0" w:hanging="0"/>
              <w:jc w:val="left"/>
              <w:rPr/>
            </w:pPr>
            <w:hyperlink w:anchor="notes">
              <w:r>
                <w:rPr>
                  <w:rStyle w:val="InternetLink"/>
                  <w:rFonts w:ascii="Times New Roman" w:hAnsi="Times New Roman"/>
                  <w:caps w:val="false"/>
                  <w:smallCaps w:val="false"/>
                  <w:sz w:val="20"/>
                  <w:u w:val="single"/>
                </w:rPr>
                <w:t>Notes to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u w:val="single"/>
                </w:rPr>
                <w:t>46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1" w:name="auditors_report"/>
      <w:bookmarkEnd w:id="31"/>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Opinion on the Consolidated</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 of Liquidmetal Technologies, Inc. and Subsidiaries (the "Company") as of December 31, 2025 and 2024, the related consolidated statements of operations and comprehensive income (loss), shareholders’ equity, and cash flow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 for the year ended December 31, 2025 and 2024, in conformity with accounting principles generally accepted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Critical audit matters are matters arising from the current period audit of the consolidated financial statements that were communicated or are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 BCRG Group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BCRG Group (PCAOB ID 7158)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Irvine, CA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2" w:name="balance_sheets"/>
      <w:bookmarkEnd w:id="32"/>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25"/>
        <w:gridCol w:w="755"/>
        <w:gridCol w:w="80"/>
        <w:gridCol w:w="60"/>
        <w:gridCol w:w="125"/>
        <w:gridCol w:w="755"/>
        <w:gridCol w:w="80"/>
      </w:tblGrid>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 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noncurrent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1,100,000,000 shares authorized; 917,285,149 and 917,285,149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288,270</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subsidiary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29,140</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3" w:name="operations"/>
      <w:bookmarkEnd w:id="33"/>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5"/>
        <w:gridCol w:w="60"/>
        <w:gridCol w:w="125"/>
        <w:gridCol w:w="1055"/>
        <w:gridCol w:w="80"/>
        <w:gridCol w:w="60"/>
        <w:gridCol w:w="125"/>
        <w:gridCol w:w="1055"/>
        <w:gridCol w:w="80"/>
      </w:tblGrid>
      <w:tr>
        <w:trPr/>
        <w:tc>
          <w:tcPr>
            <w:tcW w:w="7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8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3,511</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3,530</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attributable to Liquidmetal Technologies shareholders,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weighted average shares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4" w:name="comp_loss"/>
      <w:bookmarkEnd w:id="34"/>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757" w:type="dxa"/>
        <w:jc w:val="left"/>
        <w:tblInd w:w="0" w:type="dxa"/>
        <w:tblLayout w:type="fixed"/>
        <w:tblCellMar>
          <w:top w:w="0" w:type="dxa"/>
          <w:left w:w="0" w:type="dxa"/>
          <w:bottom w:w="0" w:type="dxa"/>
          <w:right w:w="0" w:type="dxa"/>
        </w:tblCellMar>
      </w:tblPr>
      <w:tblGrid>
        <w:gridCol w:w="6365"/>
        <w:gridCol w:w="60"/>
        <w:gridCol w:w="190"/>
        <w:gridCol w:w="830"/>
        <w:gridCol w:w="121"/>
        <w:gridCol w:w="91"/>
        <w:gridCol w:w="190"/>
        <w:gridCol w:w="830"/>
        <w:gridCol w:w="8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8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540" w:right="0" w:hanging="0"/>
              <w:jc w:val="left"/>
              <w:rPr>
                <w:caps w:val="false"/>
                <w:smallCaps w:val="false"/>
              </w:rPr>
            </w:pPr>
            <w:r>
              <w:rPr>
                <w:caps w:val="false"/>
                <w:smallCaps w:val="false"/>
              </w:rPr>
              <w:t> </w:t>
            </w:r>
            <w:r>
              <w:rPr>
                <w:rFonts w:ascii="Times New Roman;Times;serif" w:hAnsi="Times New Roman;Times;serif"/>
                <w:caps w:val="false"/>
                <w:smallCaps w:val="false"/>
                <w:sz w:val="20"/>
              </w:rPr>
              <w:t>Net unrealized gains (losses) on available-for-sale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0"/>
              <w:ind w:left="540" w:right="0" w:hanging="0"/>
              <w:jc w:val="left"/>
              <w:rPr>
                <w:caps w:val="false"/>
                <w:smallCaps w:val="false"/>
              </w:rPr>
            </w:pPr>
            <w:r>
              <w:rPr>
                <w:caps w:val="false"/>
                <w:smallCaps w:val="false"/>
              </w:rPr>
              <w:t> </w:t>
            </w:r>
            <w:r>
              <w:rPr>
                <w:rFonts w:ascii="Times New Roman;Times;serif" w:hAnsi="Times New Roman;Times;serif"/>
                <w:caps w:val="false"/>
                <w:smallCaps w:val="false"/>
                <w:sz w:val="20"/>
              </w:rPr>
              <w:t>Gain on foreign currency translation</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Liquidmetal Technologies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(2,203</w:t>
            </w:r>
          </w:p>
        </w:tc>
        <w:tc>
          <w:tcPr>
            <w:tcW w:w="12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(1,593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5" w:name="stockholders_equity"/>
      <w:bookmarkEnd w:id="35"/>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SHAREHOLDERS'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7"/>
        <w:gridCol w:w="60"/>
        <w:gridCol w:w="317"/>
        <w:gridCol w:w="423"/>
        <w:gridCol w:w="60"/>
        <w:gridCol w:w="60"/>
        <w:gridCol w:w="60"/>
        <w:gridCol w:w="920"/>
        <w:gridCol w:w="60"/>
        <w:gridCol w:w="60"/>
        <w:gridCol w:w="203"/>
        <w:gridCol w:w="537"/>
        <w:gridCol w:w="60"/>
        <w:gridCol w:w="60"/>
        <w:gridCol w:w="147"/>
        <w:gridCol w:w="699"/>
        <w:gridCol w:w="60"/>
        <w:gridCol w:w="60"/>
        <w:gridCol w:w="120"/>
        <w:gridCol w:w="665"/>
        <w:gridCol w:w="60"/>
        <w:gridCol w:w="60"/>
        <w:gridCol w:w="147"/>
        <w:gridCol w:w="893"/>
        <w:gridCol w:w="80"/>
        <w:gridCol w:w="60"/>
        <w:gridCol w:w="319"/>
        <w:gridCol w:w="841"/>
        <w:gridCol w:w="80"/>
        <w:gridCol w:w="60"/>
        <w:gridCol w:w="251"/>
        <w:gridCol w:w="594"/>
        <w:gridCol w:w="80"/>
        <w:gridCol w:w="60"/>
        <w:gridCol w:w="110"/>
        <w:gridCol w:w="515"/>
        <w:gridCol w:w="97"/>
      </w:tblGrid>
      <w:tr>
        <w:trPr/>
        <w:tc>
          <w:tcPr>
            <w:tcW w:w="1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r>
      <w:tr>
        <w:trPr/>
        <w:tc>
          <w:tcPr>
            <w:tcW w:w="1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part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r>
      <w:tr>
        <w:trPr/>
        <w:tc>
          <w:tcPr>
            <w:tcW w:w="1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97" w:type="dxa"/>
            <w:tcBorders/>
            <w:vAlign w:val="center"/>
          </w:tcPr>
          <w:p>
            <w:pPr>
              <w:pStyle w:val="TableContents"/>
              <w:bidi w:val="0"/>
              <w:spacing w:before="0" w:after="283"/>
              <w:jc w:val="left"/>
              <w:rPr/>
            </w:pPr>
            <w:r>
              <w:rPr/>
              <w:t> </w:t>
            </w:r>
          </w:p>
        </w:tc>
      </w:tr>
      <w:tr>
        <w:trPr/>
        <w:tc>
          <w:tcPr>
            <w:tcW w:w="1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Preferred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Paid-in</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comprehensive</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controlling</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7" w:type="dxa"/>
            <w:tcBorders/>
            <w:vAlign w:val="center"/>
          </w:tcPr>
          <w:p>
            <w:pPr>
              <w:pStyle w:val="TableContents"/>
              <w:bidi w:val="0"/>
              <w:spacing w:before="0" w:after="283"/>
              <w:jc w:val="left"/>
              <w:rPr/>
            </w:pPr>
            <w:r>
              <w:rPr/>
              <w:t> </w:t>
            </w:r>
          </w:p>
        </w:tc>
      </w:tr>
      <w:tr>
        <w:trPr/>
        <w:tc>
          <w:tcPr>
            <w:tcW w:w="1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December 31, 2024</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(278,253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29,140</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4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(2,342</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26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gain</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w:t>
            </w:r>
          </w:p>
        </w:tc>
        <w:tc>
          <w:tcPr>
            <w:tcW w:w="97"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December 31, 2025</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288,420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(280,594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27,086</w:t>
            </w:r>
          </w:p>
        </w:tc>
        <w:tc>
          <w:tcPr>
            <w:tcW w:w="97"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December 31, 2023</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42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288,126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(276,743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30,590</w:t>
            </w:r>
          </w:p>
        </w:tc>
        <w:tc>
          <w:tcPr>
            <w:tcW w:w="97"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4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97"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(1,511</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26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loss</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December 31, 2024</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288,270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(278,253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29,140</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6" w:name="cash_flows"/>
      <w:bookmarkEnd w:id="36"/>
      <w:r>
        <w:rPr>
          <w:rFonts w:ascii="Times New Roman" w:hAnsi="Times New Roman"/>
          <w:b/>
          <w:caps w:val="false"/>
          <w:smallCaps w:val="false"/>
          <w:sz w:val="20"/>
        </w:rPr>
        <w:t xml:space="preserve">LIQUIDMETAL TECHNOLOGIES, INC. AND SUBSIDIARIES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322" w:type="dxa"/>
        <w:jc w:val="left"/>
        <w:tblInd w:w="0" w:type="dxa"/>
        <w:tblLayout w:type="fixed"/>
        <w:tblCellMar>
          <w:top w:w="0" w:type="dxa"/>
          <w:left w:w="0" w:type="dxa"/>
          <w:bottom w:w="0" w:type="dxa"/>
          <w:right w:w="0" w:type="dxa"/>
        </w:tblCellMar>
      </w:tblPr>
      <w:tblGrid>
        <w:gridCol w:w="5930"/>
        <w:gridCol w:w="60"/>
        <w:gridCol w:w="172"/>
        <w:gridCol w:w="816"/>
        <w:gridCol w:w="110"/>
        <w:gridCol w:w="83"/>
        <w:gridCol w:w="172"/>
        <w:gridCol w:w="899"/>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investment gains (loss),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investment gain, net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and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(2,752</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debt securities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(7,132</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debt securities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11,041</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18,559</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3,905</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(1,674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7,164</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6,011</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7" w:name="notes"/>
      <w:bookmarkEnd w:id="37"/>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w:t>
            </w:r>
          </w:p>
        </w:tc>
        <w:tc>
          <w:tcPr>
            <w:tcW w:w="100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tc>
      </w:tr>
      <w:tr>
        <w:trPr/>
        <w:tc>
          <w:tcPr>
            <w:tcW w:w="130" w:type="dxa"/>
            <w:tcBorders/>
            <w:vAlign w:val="center"/>
          </w:tcPr>
          <w:p>
            <w:pPr>
              <w:pStyle w:val="TableContents"/>
              <w:bidi w:val="0"/>
              <w:spacing w:before="0" w:after="283"/>
              <w:jc w:val="left"/>
              <w:rPr/>
            </w:pPr>
            <w:r>
              <w:rPr/>
              <w:t> </w:t>
            </w:r>
          </w:p>
        </w:tc>
        <w:tc>
          <w:tcPr>
            <w:tcW w:w="10075" w:type="dxa"/>
            <w:tcBorders/>
            <w:vAlign w:val="center"/>
          </w:tcPr>
          <w:p>
            <w:pPr>
              <w:pStyle w:val="TableContents"/>
              <w:bidi w:val="0"/>
              <w:spacing w:before="0" w:after="283"/>
              <w:jc w:val="left"/>
              <w:rPr/>
            </w:pPr>
            <w:r>
              <w:rPr/>
              <w:t> </w:t>
            </w:r>
          </w:p>
        </w:tc>
      </w:tr>
      <w:tr>
        <w:trPr/>
        <w:tc>
          <w:tcPr>
            <w:tcW w:w="130" w:type="dxa"/>
            <w:tcBorders/>
            <w:vAlign w:val="center"/>
          </w:tcPr>
          <w:p>
            <w:pPr>
              <w:pStyle w:val="TableContents"/>
              <w:bidi w:val="0"/>
              <w:spacing w:before="0" w:after="283"/>
              <w:jc w:val="left"/>
              <w:rPr/>
            </w:pPr>
            <w:r>
              <w:rPr/>
              <w:t> </w:t>
            </w:r>
          </w:p>
        </w:tc>
        <w:tc>
          <w:tcPr>
            <w:tcW w:w="100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Liquidmetal Technologies, Inc. (the “Company”) is a materials technology and manufacturing company focused on the development and commercialization of products made from proprietary amorphous alloys and/or utilizing proprietary amorphous alloy manufacturing technologies. In addition to developing the Company’s manufacturing facility through our subsidiary in China, the Company works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manufacturing and commercial partners to develop and commercial products made from proprietary amorphous alloys. </w:t>
            </w:r>
          </w:p>
          <w:p>
            <w:pPr>
              <w:pStyle w:val="TableContents"/>
              <w:bidi w:val="0"/>
              <w:spacing w:before="0" w:after="0"/>
              <w:ind w:left="0" w:right="0" w:hanging="0"/>
              <w:jc w:val="both"/>
              <w:rPr/>
            </w:pPr>
            <w:r>
              <w:rPr>
                <w:rFonts w:ascii="Times New Roman" w:hAnsi="Times New Roman"/>
                <w:caps w:val="false"/>
                <w:smallCaps w:val="false"/>
                <w:sz w:val="20"/>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to select specific alloys to achieve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or commercially viable with other materials.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w:t>
            </w:r>
          </w:p>
        </w:tc>
        <w:tc>
          <w:tcPr>
            <w:tcW w:w="10064"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OF SIGNIFICANT ACCOUNTING POLICIES</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283"/>
              <w:jc w:val="left"/>
              <w:rPr/>
            </w:pPr>
            <w:r>
              <w:rPr/>
              <w:t> </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 w:hAnsi="Times New Roman"/>
                <w:caps w:val="false"/>
                <w:smallCaps w:val="false"/>
                <w:sz w:val="20"/>
              </w:rPr>
              <w:t xml:space="preserve">The consolidated financial statements include the accounts of Liquidmetal Technologies, Inc., its special-purpose wholly-owned subsidiary, Crucible Intellectual Property LLC, </w:t>
            </w:r>
            <w:r>
              <w:rPr>
                <w:rStyle w:val="Emphasis"/>
                <w:rFonts w:ascii="Times New Roman" w:hAnsi="Times New Roman"/>
                <w:caps w:val="false"/>
                <w:smallCaps w:val="false"/>
                <w:sz w:val="20"/>
              </w:rPr>
              <w:t>20321</w:t>
            </w:r>
            <w:r>
              <w:rPr>
                <w:rFonts w:ascii="Times New Roman" w:hAnsi="Times New Roman"/>
                <w:caps w:val="false"/>
                <w:smallCaps w:val="false"/>
                <w:sz w:val="20"/>
              </w:rPr>
              <w:t xml:space="preserve"> Valencia LLC, and Liquidmetal Golf. All intercompany balances and transactions have been eliminated.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Non-Controlling Interest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operations attributable to the non-controlling interest of Liquidmetal Golf are presented within equity and are shown separately from the Company’s equity.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reported periods. Actual results could differ from those estimates. These management estimates are primarily related to impairment of long-lived assets, allowance for bad debt, warrant valuations, and inventory valuation.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 w:hAnsi="Times New Roman"/>
                <w:caps w:val="false"/>
                <w:smallCaps w:val="false"/>
                <w:sz w:val="20"/>
              </w:rPr>
              <w:t xml:space="preserve">Revenue is recognized pursuant to applicable accounting standards including FASB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605”</w:t>
            </w:r>
            <w:r>
              <w:rPr>
                <w:rFonts w:ascii="Times New Roman" w:hAnsi="Times New Roman"/>
                <w:caps w:val="false"/>
                <w:smallCaps w:val="false"/>
                <w:sz w:val="20"/>
              </w:rPr>
              <w:t xml:space="preserve">), Revenue from Contracts with Customers.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summarizes certain points in applying generally accepted accounting principles to revenue recognition in financial statements and provides guidance on revenue recognition issues in the absence of authoritative literature addressing a specific arrangement or a specific industry.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 w:hAnsi="Times New Roman"/>
                <w:caps w:val="false"/>
                <w:smallCaps w:val="false"/>
                <w:sz w:val="20"/>
              </w:rPr>
              <w:t xml:space="preserve">The Company’s revenue recognition policy complies with the requirements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As a majority of the Company’s sales revenue continues to be recognized when products are shipped, and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recognition model historically applied to active license and royalty contracts under the new revenue standard,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 to the opening balance of retained earnings. The impact to the Company’s results of operations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on an on-going basis, because the analysis of the Company’s contracts under the new revenue standard supports a recognition model consistent with the Company’s previous revenue recognition model. Revenue on the majority of the Company’s contracts will continue to be recognized over time because of the continuous transfer of control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Product revenues are primarily generated from the sale and prototyping of molds and bulk alloy products. Revenue is recognized when i) persuasive evidence of an arrangement exists, ii) delivery has occurred, iii) the sales price is fixed or determinable, iv) collection is probable and v) all obligations have been substantially performed pursuant to the terms of the arrangement. When the Company receives consideration, or such consideration is unconditionally due, from a customer prior to transferring goods or services to the customer under the terms of a sales contract, it records deferred revenue, which represents a contract liability. The Company will recognize deferred revenue as products revenue after it has transferred control of the goods or services to the customer and all revenue recognition criteria are met. Such amounts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expected to be material on an ongoing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Licensing and royalties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License revenue arrangements in general provide for the grant of an exclusive or non-exclusive right to manufacture and/or sell products covered by patented technologies owned or controlled by the Company. The intellectual property rights granted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perpetual in nature, extending until the expiration of the related patents, or can be granted for a defined period of time. Licensing revenues that are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-time fees upon the granting of the license are recognized when i) the license term begins in a manner consistent with the nature of the transaction and the earnings process is complete, ii) when collectability is reasonably assured or upon receipt of an upfront fee, and iii) when all other revenue recognition criteria have been met. Pursuant to the terms of these agreements, the Company has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further obligation with respect to the grant of the license. Licensing revenues that are related to royalties are recognized as the royalties are earned over the related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Practical Expedients and Exemptions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generally expenses sales commissions when incurred because the amortization period would have been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These costs are recorded within selling, marketing, general and administrative expenses.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the value of unsatisfied performance obligations for (i) contracts with an original expected length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and (ii) contracts for which the Company recognizes revenue at the amount for which it has the right to invoice for services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Advertising and Promotion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Advertising and promotion expenses are expensed when incurred. Advertising and promotion expenses were $48 and $113,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represent salaries, related benefits expense, expenses incurred for the design and testing of new processing methods and other expenses related to the research and development of Liquidmetal alloys. Development costs incurred in research and development activities are expensed as incurred.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considers all highly-liquid investments with maturity dates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when purchased to be cash equivalents. The Company limits the amount of credit exposure to each individual financial institution and places its temporary cash into investments of high credit quality with a financial institution that exceeds federally insured limits.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related to these balances and believes its credit risk to be minimal.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held deposits of $7,164 and $6,011, respectively, in such highly-liquid investments.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Investments in debt securities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any other-than-temporary impairment losses considered to be credit related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Trade Accounts Receivable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grants credit to its customers generally in the form of short-term trade accounts receivable. The creditworthiness of customers is evaluated prior to signing a contract with the customer.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three major customers, who together accounted for 86% of our revenue. During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 were four major customers, who together accounted for 91% of our revenue.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one customer represented 60%, or $55, of the total outstanding trade accounts receivable.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one customer represented 83%, or $74, of the total outstanding trade accounts receivable. In the future, we expect that a significant portion of our revenue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be concentrated in a limited number of customers, even if our bulk alloys business grows. In the future, the Company expects that a significant portion of the revenue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continue to be concentrated in a limited number of customers, even if the bulk alloys business grows.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allowance for doubtful accounts reflects management's best estimate of probable losses inherent in the trade accounts receivable.  Management primarily determines the allowance based on the aging of accounts receivable balances, historical write-off experience, customer concentrations, customer creditworthiness and current industry and economic trends.  The Company's provisions for uncollectible receivables are included in selling, marketing, general and administrative expense in the consolidated statements of operations.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had recorded an allowance for doubtful accounts of $0 and $0,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Inventories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weighted-average cost or net realizable value. Inventories are recorded at actual cost when purchased and then expensed at weighted-average cost as used in production and/or shipped to satisfy customer orders. We perform an analysis of our inventory balances at least quarterly to determine if the carrying amount of inventories exceeds their net realizable value. The analysis of estimated net realizable value is based on customer orders, market trends and historical pricing. If the carrying amount exceeds the estimated net realizable value, the carrying amount is reduced to the estimated net realizable value.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and amortization. Additions and major renewals are capitalized. Repairs and maintenance are charged to expense as incurred. Upon disposal, the related cost and accumulated depreciation are removed from the accounts, with the resulting gain or loss included in operating income. Depreciation is provided principally on the straight-line method over the estimated useful lives of the assets, which range from one to five years.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Investment Income (Loss)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Investment income (loss) relates to realized gains earned from our investments in debt securities for the respective periods.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Intangible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consist of the costs incurred to purchase patent rights and costs incurred to register and maintain patents and trademarks. Intangible assets are reported at cost, net of accumulated amortization. Patents and trademarks are amortized using the straight-line method over a period based on their contractual lives ranging from ten to seventeen years.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Impairment of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reviews long-lived assets to be held and used in operations for impairment whenever events or changes in circumstances indicate that the carrying value of an asset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impaired. These evaluations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significant decreases in the overall market outlook for the Company’s technology or the market price of an asset, a significant adverse change in the extent or manner in which an asset is being used in its physical condition, a significant adverse change in legal factors or in the business climate that could affect the value of an asset, as well as economic or operational analyses. If the Company concludes that the carrying value of certain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recovered based on expected undiscounted future cash flows, an impairment write-down is recorded to reduce the assets to their estimated fair value. Fair value is determined via market, cost and income-based valuation techniques, as appropriate. The fair value is measured on a non-recurring basis using a combination of quoted prices for similar assets in active markets and other unobservable adjustments to historical cost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No such charges were recorded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Measurements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instruments within the fair value hierarchy.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
        <w:gridCol w:w="9554"/>
      </w:tblGrid>
      <w:tr>
        <w:trPr/>
        <w:tc>
          <w:tcPr>
            <w:tcW w:w="65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w:t>
            </w:r>
          </w:p>
        </w:tc>
        <w:tc>
          <w:tcPr>
            <w:tcW w:w="95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Quoted prices in active markets for identical assets or liabilities;</w:t>
            </w:r>
          </w:p>
        </w:tc>
      </w:tr>
      <w:tr>
        <w:trPr/>
        <w:tc>
          <w:tcPr>
            <w:tcW w:w="651"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w:t>
            </w:r>
          </w:p>
        </w:tc>
        <w:tc>
          <w:tcPr>
            <w:tcW w:w="9554"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such as quoted prices for similar assets or liabilities;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assets or liabilities; and</w:t>
            </w:r>
          </w:p>
        </w:tc>
      </w:tr>
      <w:tr>
        <w:trPr/>
        <w:tc>
          <w:tcPr>
            <w:tcW w:w="651"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w:t>
            </w:r>
          </w:p>
        </w:tc>
        <w:tc>
          <w:tcPr>
            <w:tcW w:w="9554"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382" w:type="dxa"/>
        <w:jc w:val="left"/>
        <w:tblInd w:w="0" w:type="dxa"/>
        <w:tblLayout w:type="fixed"/>
        <w:tblCellMar>
          <w:top w:w="0" w:type="dxa"/>
          <w:left w:w="0" w:type="dxa"/>
          <w:bottom w:w="0" w:type="dxa"/>
          <w:right w:w="0" w:type="dxa"/>
        </w:tblCellMar>
      </w:tblPr>
      <w:tblGrid>
        <w:gridCol w:w="3410"/>
        <w:gridCol w:w="60"/>
        <w:gridCol w:w="60"/>
        <w:gridCol w:w="485"/>
        <w:gridCol w:w="60"/>
        <w:gridCol w:w="60"/>
        <w:gridCol w:w="71"/>
        <w:gridCol w:w="578"/>
        <w:gridCol w:w="60"/>
        <w:gridCol w:w="60"/>
        <w:gridCol w:w="71"/>
        <w:gridCol w:w="578"/>
        <w:gridCol w:w="60"/>
        <w:gridCol w:w="60"/>
        <w:gridCol w:w="278"/>
        <w:gridCol w:w="371"/>
        <w:gridCol w:w="6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382" w:type="dxa"/>
        <w:jc w:val="left"/>
        <w:tblInd w:w="0" w:type="dxa"/>
        <w:tblLayout w:type="fixed"/>
        <w:tblCellMar>
          <w:top w:w="0" w:type="dxa"/>
          <w:left w:w="0" w:type="dxa"/>
          <w:bottom w:w="0" w:type="dxa"/>
          <w:right w:w="0" w:type="dxa"/>
        </w:tblCellMar>
      </w:tblPr>
      <w:tblGrid>
        <w:gridCol w:w="3410"/>
        <w:gridCol w:w="60"/>
        <w:gridCol w:w="60"/>
        <w:gridCol w:w="485"/>
        <w:gridCol w:w="60"/>
        <w:gridCol w:w="60"/>
        <w:gridCol w:w="71"/>
        <w:gridCol w:w="578"/>
        <w:gridCol w:w="60"/>
        <w:gridCol w:w="60"/>
        <w:gridCol w:w="71"/>
        <w:gridCol w:w="578"/>
        <w:gridCol w:w="60"/>
        <w:gridCol w:w="60"/>
        <w:gridCol w:w="278"/>
        <w:gridCol w:w="371"/>
        <w:gridCol w:w="6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Non-recurring Fair Value Measurements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Certain assets and liabilities are measured at fair value on a nonrecurring basis. In other words, the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measured at fair value on an ongoing basis but are subject to fair value adjustments only in certain circumstances (for example, when there is evidence of impairment).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losses were recorded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accounts for share-based compensation in accordance with the fair value recognition provisions of FASB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Share-based Payment</w:t>
      </w:r>
      <w:r>
        <w:rPr>
          <w:rFonts w:ascii="Times New Roman" w:hAnsi="Times New Roman"/>
          <w:caps w:val="false"/>
          <w:smallCaps w:val="false"/>
          <w:sz w:val="20"/>
        </w:rPr>
        <w:t xml:space="preserve">, which requires all share-based payments to employees, including grants of employee stock options, to be recognized in the consolidated financial statements based on their fair values. The fair value of stock options is calculated by using the Black-Scholes option pricing formula that requires estimates for expected volatility, expected dividends, the risk-free interest rate and the term of the option. If any of the assumptions used in the Black-Scholes model change significantly, share-based compensation expense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materially in the future from that recorded in the current period.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adopted FASB Accounting Standards Codification, or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which requires the recognition of the right-of-use assets and relating operating and finance lease liabilities on the balance sheet.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all leases are required to be recorded on the balance sheet and are classified as either operating leases or finance leases. The lease classification affects the expense recognition in the income statement. Operating lease charges are recorded entirely in operating expenses. Finance lease charges are split, where amortization of the right-of-use asset is recorded in operating expenses and an implied interest component is recorded in interest expense.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Income taxes are provided under the asset and liability method as required by FASB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Accounting for Income Taxes</w:t>
      </w:r>
      <w:r>
        <w:rPr>
          <w:rFonts w:ascii="Times New Roman" w:hAnsi="Times New Roman"/>
          <w:caps w:val="false"/>
          <w:smallCaps w:val="false"/>
          <w:sz w:val="20"/>
        </w:rPr>
        <w:t xml:space="preserve">. Under this method, deferred income taxes are recognized for the tax consequences of “temporary differences” by applying enacted statutory tax rates applicable to future years to differences between the financial statement carrying amounts and the tax basis of existing assets and liabilities. The effect of a tax rate change on deferred taxes is recognized in operations in the period that the change in the rate is enacted. Valuation allowances are established when necessary to reduce net deferred tax assets to the amount expected to be realized. Under the provisions of FASB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unrecognized tax positions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adjustments to liabilities or operations were required. The Company, when applicable, will recognize interest and penalties related to uncertain tax positions in income tax expense. There was no expense related to interest and penalties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Earnings Per Share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(losses) attributable to common shareholders by the weighted average number of common shares outstanding for the periods. Diluted EPS reflects the potential dilution that could occur if securities or other contracts to issue common stock were exercised or converted into common stock.</w:t>
      </w:r>
    </w:p>
    <w:p>
      <w:pPr>
        <w:pStyle w:val="TextBody"/>
        <w:bidi w:val="0"/>
        <w:spacing w:before="0" w:after="0"/>
        <w:ind w:left="360" w:right="0" w:hanging="0"/>
        <w:jc w:val="both"/>
        <w:rPr/>
      </w:pPr>
      <w:r>
        <w:rPr/>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Foreign Currency Translation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operations in China. Accounting records in foreign operations are maintained in local currencies and remeasured to the US dollars during the consolidation. Nonmonetary assets and liabilities are translated at historical rates, and monetary assets and liabilities are translated at exchange rates in effect at the end of the year. Income statement accounts are translated at average rates for the year. Gains or losses from remeasurement of foreign currency financial statements into the US dollars are included in current results of comprehensive income.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Recent Accounting Pronouncements.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2016, </w:t>
      </w:r>
      <w:r>
        <w:rPr>
          <w:rFonts w:ascii="Times New Roman" w:hAnsi="Times New Roman"/>
          <w:caps w:val="false"/>
          <w:smallCaps w:val="false"/>
          <w:sz w:val="20"/>
        </w:rPr>
        <w:t xml:space="preserve">the FASB issued an accounting standards update which changes the methodology for measuring credit losses on financial instruments and the timing of when such losses are recorded. This update replaces the existing incurred loss impairment model with an expected loss model (referred to as the Current Expected Credit Loss model, or "CECL"). The standard update, and its related amendments, will become effective for the fiscal year beginning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This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its consolidated financial statements as of and for the year ended </w:t>
      </w:r>
      <w:r>
        <w:rPr>
          <w:rStyle w:val="Emphasis"/>
          <w:rFonts w:ascii="Times New Roman" w:hAnsi="Times New Roman"/>
          <w:caps w:val="false"/>
          <w:smallCaps w:val="false"/>
          <w:sz w:val="20"/>
        </w:rPr>
        <w:t>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Other recent accounting pronouncements issued by the FASB (including its Emerging Issues Task Force), the AICPA and the SEC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or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believed by management to have a material impact on the Company's present or future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3.</w:t>
            </w:r>
            <w:r>
              <w:rPr>
                <w:rFonts w:ascii="Times New Roman;Times;serif" w:hAnsi="Times New Roman;Times;serif"/>
                <w:b/>
                <w:caps w:val="false"/>
                <w:smallCaps w:val="false"/>
                <w:sz w:val="20"/>
              </w:rPr>
              <w:t xml:space="preserve"> </w:t>
            </w:r>
          </w:p>
        </w:tc>
        <w:tc>
          <w:tcPr>
            <w:tcW w:w="285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Hangzhou Feifeng Liquidmetal Co., Ltd. Joint Venture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Liquidmetal Asia Holdings Limited (“Liquidmetal Asia”), a Hong Kong based, wholly owned subsidiary of the Company,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will be owned 70% by Liquidmetal Asia and 30% by Mr. Liu and will be capitalized with $6.0 million USD of initial capital, of which $4.2 million has been contributed by Liquidmetal Asia, and $1.8 million will be contributed by Mr. Liu on or before </w:t>
      </w:r>
      <w:r>
        <w:rPr>
          <w:rStyle w:val="Emphasis"/>
          <w:rFonts w:ascii="Times New Roman" w:hAnsi="Times New Roman"/>
          <w:caps w:val="false"/>
          <w:smallCaps w:val="false"/>
          <w:sz w:val="20"/>
        </w:rPr>
        <w:t xml:space="preserve">May 25, 2028. </w:t>
      </w:r>
      <w:r>
        <w:rPr>
          <w:rFonts w:ascii="Times New Roman" w:hAnsi="Times New Roman"/>
          <w:caps w:val="false"/>
          <w:smallCaps w:val="false"/>
          <w:sz w:val="20"/>
        </w:rPr>
        <w:t xml:space="preserve">The Joint Venture Company will have full manufacturing capabilities in </w:t>
      </w:r>
      <w:r>
        <w:rPr>
          <w:rStyle w:val="Emphasis"/>
          <w:rFonts w:ascii="Times New Roman" w:hAnsi="Times New Roman"/>
          <w:caps w:val="false"/>
          <w:smallCaps w:val="false"/>
          <w:sz w:val="20"/>
        </w:rPr>
        <w:t>2026.</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Yihao Manufacturing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12, 2022, </w:t>
      </w:r>
      <w:r>
        <w:rPr>
          <w:rFonts w:ascii="Times New Roman" w:hAnsi="Times New Roman"/>
          <w:caps w:val="false"/>
          <w:smallCaps w:val="false"/>
          <w:sz w:val="20"/>
        </w:rPr>
        <w:t xml:space="preserve">the Company entered into a manufacturing agreement (“Manufacturing Agreement”) with Dongguan Yihao Metal Materials Technology Co. Ltd. (“Yihao”) to become an outsourced contract manufacturer of the Company’s produc. Under the Manufacturing Agreement, which has a term of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Corporate Facility Purchase and Lease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16, 2017, </w:t>
      </w:r>
      <w:r>
        <w:rPr>
          <w:rFonts w:ascii="Times New Roman" w:hAnsi="Times New Roman"/>
          <w:caps w:val="false"/>
          <w:smallCaps w:val="false"/>
          <w:sz w:val="20"/>
        </w:rPr>
        <w:t xml:space="preserve">the Company purchased a 41,000 square foot facility (the “Facility”) located in Lake Forest, CA, where operations commenced during </w:t>
      </w:r>
      <w:r>
        <w:rPr>
          <w:rStyle w:val="Emphasis"/>
          <w:rFonts w:ascii="Times New Roman" w:hAnsi="Times New Roman"/>
          <w:caps w:val="false"/>
          <w:smallCaps w:val="false"/>
          <w:sz w:val="20"/>
        </w:rPr>
        <w:t xml:space="preserve">July 2017. </w:t>
      </w:r>
      <w:r>
        <w:rPr>
          <w:rFonts w:ascii="Times New Roman" w:hAnsi="Times New Roman"/>
          <w:caps w:val="false"/>
          <w:smallCaps w:val="false"/>
          <w:sz w:val="20"/>
        </w:rPr>
        <w:t>The purchase price for the Facility was $7,818.</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23, 2020, 20321</w:t>
      </w:r>
      <w:r>
        <w:rPr>
          <w:rFonts w:ascii="Times New Roman" w:hAnsi="Times New Roman"/>
          <w:caps w:val="false"/>
          <w:smallCaps w:val="false"/>
          <w:sz w:val="20"/>
        </w:rPr>
        <w:t xml:space="preserve"> Valencia, LLC, a Delaware limited liability company and wholly owned subsidiary of the Company, entered into a lease agreement pursuant to which the Company leased to MatterHackers, Inc., a Delaware corporation (“Tenant”), an approximately 32,534 square foot portion of the Facility. The lease term was for 5 years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months and expired on </w:t>
      </w:r>
      <w:r>
        <w:rPr>
          <w:rStyle w:val="Emphasis"/>
          <w:rFonts w:ascii="Times New Roman" w:hAnsi="Times New Roman"/>
          <w:caps w:val="false"/>
          <w:smallCaps w:val="false"/>
          <w:sz w:val="20"/>
        </w:rPr>
        <w:t xml:space="preserve">April 30, 2025. </w:t>
      </w:r>
      <w:r>
        <w:rPr>
          <w:rFonts w:ascii="Times New Roman" w:hAnsi="Times New Roman"/>
          <w:caps w:val="false"/>
          <w:smallCaps w:val="false"/>
          <w:sz w:val="20"/>
        </w:rPr>
        <w:t>The base rent payable under the lease was $32,534 per month initially and was subject to periodic increases up to a maximum of approximately $54,000 per month. Tenant paid approximately 79% of common operating expenses.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26, 2025, </w:t>
      </w:r>
      <w:r>
        <w:rPr>
          <w:rFonts w:ascii="Times New Roman" w:hAnsi="Times New Roman"/>
          <w:caps w:val="false"/>
          <w:smallCaps w:val="false"/>
          <w:sz w:val="20"/>
        </w:rPr>
        <w:t xml:space="preserve">the Company entered into a new lease agreement (the “Facility Lease”) for a 5 year term commencing on </w:t>
      </w:r>
      <w:r>
        <w:rPr>
          <w:rStyle w:val="Emphasis"/>
          <w:rFonts w:ascii="Times New Roman" w:hAnsi="Times New Roman"/>
          <w:caps w:val="false"/>
          <w:smallCaps w:val="false"/>
          <w:sz w:val="20"/>
        </w:rPr>
        <w:t xml:space="preserve">May 1, 2025 </w:t>
      </w:r>
      <w:r>
        <w:rPr>
          <w:rFonts w:ascii="Times New Roman" w:hAnsi="Times New Roman"/>
          <w:caps w:val="false"/>
          <w:smallCaps w:val="false"/>
          <w:sz w:val="20"/>
        </w:rPr>
        <w:t xml:space="preserve">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the Company or Tenant the right to terminate the Facility Lease after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and a half years into the lease term and has other customary provisions, including provisions relating to default and usage restrictions.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Style w:val="Emphasis"/>
          <w:rFonts w:ascii="Times New Roman" w:hAnsi="Times New Roman"/>
          <w:b/>
          <w:i/>
          <w:caps w:val="false"/>
          <w:smallCaps w:val="false"/>
          <w:sz w:val="20"/>
        </w:rPr>
        <w:t>2016</w:t>
      </w:r>
      <w:r>
        <w:rPr>
          <w:rFonts w:ascii="Times New Roman" w:hAnsi="Times New Roman"/>
          <w:b/>
          <w:i/>
          <w:caps w:val="false"/>
          <w:smallCaps w:val="false"/>
          <w:sz w:val="20"/>
        </w:rPr>
        <w:t xml:space="preserve"> Purchase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the Company entered into a Securities Purchase Agreement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with Liquidmetal Technology Limited, a Hong Kong company (the “Investor”), which is controlled by the Company’s Chairman, Professor Li.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and the remaining 200,000,000 shares at $0.15 per share and 100,000,000 shares at $0.25 per share for an aggregate purchase price of $55,000 on </w:t>
      </w:r>
      <w:r>
        <w:rPr>
          <w:rStyle w:val="Emphasis"/>
          <w:rFonts w:ascii="Times New Roman" w:hAnsi="Times New Roman"/>
          <w:caps w:val="false"/>
          <w:smallCaps w:val="false"/>
          <w:sz w:val="20"/>
        </w:rPr>
        <w:t xml:space="preserve">October 26, 2016.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 xml:space="preserve">the Investor sold 179,787,888 to various buyers leaving 225,212,112 shares of our common stock owned by the Investor as of </w:t>
      </w:r>
      <w:r>
        <w:rPr>
          <w:rStyle w:val="Emphasis"/>
          <w:rFonts w:ascii="Times New Roman" w:hAnsi="Times New Roman"/>
          <w:caps w:val="false"/>
          <w:smallCaps w:val="false"/>
          <w:sz w:val="20"/>
        </w:rPr>
        <w:t>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In addition to the shares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the Company issued to the Investor a warrant to acquire 10,066,809 shares of common stock. The warrant expired </w:t>
      </w:r>
      <w:r>
        <w:rPr>
          <w:rStyle w:val="Emphasis"/>
          <w:rFonts w:ascii="Times New Roman" w:hAnsi="Times New Roman"/>
          <w:caps w:val="false"/>
          <w:smallCaps w:val="false"/>
          <w:sz w:val="20"/>
        </w:rPr>
        <w:t>March 10, 2026.</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Eontec License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the Company and DongGuan Eontec Co., Ltd., a Hong Kong corporation (“Eontec”), entered into a Parallel License Agreement (the “License Agreement”) pursuant to which the Company and Eontec agreed to cross-license their respective technologies. The Company’s Chairman, Professor Li, is also the Chairman of Eontec.</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Eutectix Business Development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31, 2020, </w:t>
      </w:r>
      <w:r>
        <w:rPr>
          <w:rFonts w:ascii="Times New Roman" w:hAnsi="Times New Roman"/>
          <w:caps w:val="false"/>
          <w:smallCaps w:val="false"/>
          <w:sz w:val="20"/>
        </w:rPr>
        <w:t xml:space="preserve">the Company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the Company licensed to Eutectix specified equipment owned by the Company, including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injection molding machines,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diecasting machines, and other machines and equipment, all of which will be used to make product for Company customers and Eutectix customers. The Company has also licensed to Eutectix various patents and technical information related to the Company’s proprietary technology. The Agreement expired in </w:t>
      </w:r>
      <w:r>
        <w:rPr>
          <w:rStyle w:val="Emphasis"/>
          <w:rFonts w:ascii="Times New Roman" w:hAnsi="Times New Roman"/>
          <w:caps w:val="false"/>
          <w:smallCaps w:val="false"/>
          <w:sz w:val="20"/>
        </w:rPr>
        <w:t>January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Apple License Transaction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5, 2010, </w:t>
      </w:r>
      <w:r>
        <w:rPr>
          <w:rFonts w:ascii="Times New Roman" w:hAnsi="Times New Roman"/>
          <w:caps w:val="false"/>
          <w:smallCaps w:val="false"/>
          <w:sz w:val="20"/>
        </w:rPr>
        <w:t xml:space="preserve">the Company entered into a license transaction with Apple Inc. (“Apple”) pursuant to which (i) the Company contributed substantially all of its intellectual property assets to a newly organized special-purpose, wholly-owned subsidiary, called Crucible Intellectual Property, LLC (“CIP”), (ii) CIP granted to Apple a perpetual, worldwide, exclusive license to commercialize such intellectual property in the field of consumer electronic products, as defined in the license agreement, in exchange for a </w:t>
      </w:r>
      <w:r>
        <w:rPr>
          <w:rStyle w:val="Emphasis"/>
          <w:rFonts w:ascii="Times New Roman" w:hAnsi="Times New Roman"/>
          <w:caps w:val="false"/>
          <w:smallCaps w:val="false"/>
          <w:sz w:val="20"/>
        </w:rPr>
        <w:t>one</w:t>
      </w:r>
      <w:r>
        <w:rPr>
          <w:rFonts w:ascii="Times New Roman" w:hAnsi="Times New Roman"/>
          <w:caps w:val="false"/>
          <w:smallCaps w:val="false"/>
          <w:sz w:val="20"/>
        </w:rPr>
        <w:t>-time, upfront license fee, and (iii) CIP granted back to the Company a perpetual, worldwide, fully-paid, exclusive license to commercialize such intellectual property in all other fields of use.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Times New Roman" w:hAnsi="Times New Roman"/>
          <w:caps w:val="false"/>
          <w:smallCaps w:val="false"/>
          <w:sz w:val="20"/>
        </w:rPr>
        <w:t xml:space="preserve">Under the agreements relating to the license transaction with Apple, the Company was obligated to contribute, to CIP, all intellectual property developed through </w:t>
      </w:r>
      <w:r>
        <w:rPr>
          <w:rStyle w:val="Emphasis"/>
          <w:rFonts w:ascii="Times New Roman" w:hAnsi="Times New Roman"/>
          <w:caps w:val="false"/>
          <w:smallCaps w:val="false"/>
          <w:sz w:val="20"/>
        </w:rPr>
        <w:t xml:space="preserve">February 2016. </w:t>
      </w:r>
      <w:r>
        <w:rPr>
          <w:rFonts w:ascii="Times New Roman" w:hAnsi="Times New Roman"/>
          <w:caps w:val="false"/>
          <w:smallCaps w:val="false"/>
          <w:sz w:val="20"/>
        </w:rPr>
        <w:t>The Company is also obligated to maintain certain limited liability company formalities with respect to CIP at all times after the closing of the license transaction.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Liquidmetal Golf Sublicense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w:t>
      </w:r>
      <w:r>
        <w:rPr>
          <w:rStyle w:val="Emphasis"/>
          <w:rFonts w:ascii="Times New Roman" w:hAnsi="Times New Roman"/>
          <w:caps w:val="false"/>
          <w:smallCaps w:val="false"/>
          <w:sz w:val="20"/>
        </w:rPr>
        <w:t xml:space="preserve">January 1, 2002 </w:t>
      </w:r>
      <w:r>
        <w:rPr>
          <w:rFonts w:ascii="Times New Roman" w:hAnsi="Times New Roman"/>
          <w:caps w:val="false"/>
          <w:smallCaps w:val="false"/>
          <w:sz w:val="20"/>
        </w:rPr>
        <w:t>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13, 2022, </w:t>
      </w:r>
      <w:r>
        <w:rPr>
          <w:rFonts w:ascii="Times New Roman" w:hAnsi="Times New Roman"/>
          <w:caps w:val="false"/>
          <w:smallCaps w:val="false"/>
          <w:sz w:val="20"/>
        </w:rPr>
        <w:t>Liquidmetal Golf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initial term of three years and has been extended for another three year term that provides for the payment of a running royalty to LMG of 3% of the net sales price of licensed products.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i/>
          <w:caps w:val="false"/>
          <w:smallCaps w:val="false"/>
          <w:sz w:val="20"/>
        </w:rPr>
      </w:pPr>
      <w:r>
        <w:rPr>
          <w:rFonts w:ascii="Times New Roman" w:hAnsi="Times New Roman"/>
          <w:b/>
          <w:i/>
          <w:caps w:val="false"/>
          <w:smallCaps w:val="false"/>
          <w:sz w:val="20"/>
        </w:rPr>
        <w:t>Swatch Group License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2009, </w:t>
      </w:r>
      <w:r>
        <w:rPr>
          <w:rFonts w:ascii="Times New Roman" w:hAnsi="Times New Roman"/>
          <w:caps w:val="false"/>
          <w:smallCaps w:val="false"/>
          <w:sz w:val="20"/>
        </w:rPr>
        <w:t xml:space="preserve">the Company entered into a license agreement with Swatch Group, Ltd. (“Swatch”) under which Swatch was granted a non-exclusive license to the Company’s technology to produce and market watches and certain other luxury products. In </w:t>
      </w:r>
      <w:r>
        <w:rPr>
          <w:rStyle w:val="Emphasis"/>
          <w:rFonts w:ascii="Times New Roman" w:hAnsi="Times New Roman"/>
          <w:caps w:val="false"/>
          <w:smallCaps w:val="false"/>
          <w:sz w:val="20"/>
        </w:rPr>
        <w:t xml:space="preserve">March 2011, </w:t>
      </w:r>
      <w:r>
        <w:rPr>
          <w:rFonts w:ascii="Times New Roman" w:hAnsi="Times New Roman"/>
          <w:caps w:val="false"/>
          <w:smallCaps w:val="false"/>
          <w:sz w:val="20"/>
        </w:rPr>
        <w:t xml:space="preserve">this license agreement was amended to grant Swatch exclusive rights as to watches as against all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700" w:type="dxa"/>
        <w:jc w:val="left"/>
        <w:tblInd w:w="0" w:type="dxa"/>
        <w:tblLayout w:type="fixed"/>
        <w:tblCellMar>
          <w:top w:w="0" w:type="dxa"/>
          <w:left w:w="0" w:type="dxa"/>
          <w:bottom w:w="0" w:type="dxa"/>
          <w:right w:w="0" w:type="dxa"/>
        </w:tblCellMar>
      </w:tblPr>
      <w:tblGrid>
        <w:gridCol w:w="215"/>
        <w:gridCol w:w="348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w:t>
            </w:r>
          </w:p>
        </w:tc>
        <w:tc>
          <w:tcPr>
            <w:tcW w:w="3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 IN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amortized cost and fair value of investments in debt securities (short-term and long-term):</w:t>
      </w:r>
    </w:p>
    <w:p>
      <w:pPr>
        <w:pStyle w:val="TextBody"/>
        <w:bidi w:val="0"/>
        <w:spacing w:before="0" w:after="0"/>
        <w:ind w:left="0" w:right="0" w:hanging="0"/>
        <w:jc w:val="left"/>
        <w:rPr>
          <w:caps w:val="false"/>
          <w:smallCaps w:val="false"/>
        </w:rPr>
      </w:pPr>
      <w:r>
        <w:rPr>
          <w:caps w:val="false"/>
          <w:smallCaps w:val="false"/>
        </w:rPr>
        <w:t> </w:t>
      </w:r>
    </w:p>
    <w:tbl>
      <w:tblPr>
        <w:tblW w:w="8651" w:type="dxa"/>
        <w:jc w:val="left"/>
        <w:tblInd w:w="0" w:type="dxa"/>
        <w:tblLayout w:type="fixed"/>
        <w:tblCellMar>
          <w:top w:w="0" w:type="dxa"/>
          <w:left w:w="0" w:type="dxa"/>
          <w:bottom w:w="0" w:type="dxa"/>
          <w:right w:w="0" w:type="dxa"/>
        </w:tblCellMar>
      </w:tblPr>
      <w:tblGrid>
        <w:gridCol w:w="3155"/>
        <w:gridCol w:w="830"/>
        <w:gridCol w:w="60"/>
        <w:gridCol w:w="84"/>
        <w:gridCol w:w="835"/>
        <w:gridCol w:w="60"/>
        <w:gridCol w:w="60"/>
        <w:gridCol w:w="107"/>
        <w:gridCol w:w="1067"/>
        <w:gridCol w:w="60"/>
        <w:gridCol w:w="60"/>
        <w:gridCol w:w="84"/>
        <w:gridCol w:w="835"/>
        <w:gridCol w:w="60"/>
        <w:gridCol w:w="60"/>
        <w:gridCol w:w="107"/>
        <w:gridCol w:w="1067"/>
        <w:gridCol w:w="60"/>
      </w:tblGrid>
      <w:tr>
        <w:trPr/>
        <w:tc>
          <w:tcPr>
            <w:tcW w:w="3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Longest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Maturity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and agency securities</w:t>
            </w:r>
          </w:p>
        </w:tc>
        <w:tc>
          <w:tcPr>
            <w:tcW w:w="83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13,489</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83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83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One-year</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Income from these investments totaled $751 and $1,136 during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was included as a portion of interest and investment income on the Company’s consolidated statements of operations.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Based on the Company’s review of its debt securities in an unrealized loss position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it determined that the losses were primarily the result of current economic factors, impacting all global debt and equity markets, that are the result of the global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The impact to the Company’s investment portfolio is considered to be temporary, rather than a deterioration of overall credit quality.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these securities prior to recovering their amortized cost. As such,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these securities to be other-than-temporarily impaired at </w:t>
      </w:r>
      <w:r>
        <w:rPr>
          <w:rStyle w:val="Emphasis"/>
          <w:rFonts w:ascii="Times New Roman" w:hAnsi="Times New Roman"/>
          <w:caps w:val="false"/>
          <w:smallCaps w:val="false"/>
          <w:sz w:val="20"/>
        </w:rPr>
        <w:t>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Investment in debt securities activities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942" w:type="dxa"/>
        <w:jc w:val="left"/>
        <w:tblInd w:w="0" w:type="dxa"/>
        <w:tblLayout w:type="fixed"/>
        <w:tblCellMar>
          <w:top w:w="0" w:type="dxa"/>
          <w:left w:w="0" w:type="dxa"/>
          <w:bottom w:w="0" w:type="dxa"/>
          <w:right w:w="0" w:type="dxa"/>
        </w:tblCellMar>
      </w:tblPr>
      <w:tblGrid>
        <w:gridCol w:w="4505"/>
        <w:gridCol w:w="60"/>
        <w:gridCol w:w="170"/>
        <w:gridCol w:w="884"/>
        <w:gridCol w:w="108"/>
        <w:gridCol w:w="81"/>
        <w:gridCol w:w="170"/>
        <w:gridCol w:w="884"/>
        <w:gridCol w:w="8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Years ended December 31, </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20,233</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at cost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(11,036</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 from sale of investment in debt securities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management fees and other fees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Withdrawals from debt securities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ending balance</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 current portion</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w:t>
            </w:r>
          </w:p>
        </w:tc>
        <w:tc>
          <w:tcPr>
            <w:tcW w:w="31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TRADE ACCOUNTS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Trade accounts receivable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3081" w:type="dxa"/>
        <w:jc w:val="left"/>
        <w:tblInd w:w="0" w:type="dxa"/>
        <w:tblLayout w:type="fixed"/>
        <w:tblCellMar>
          <w:top w:w="0" w:type="dxa"/>
          <w:left w:w="0" w:type="dxa"/>
          <w:bottom w:w="0" w:type="dxa"/>
          <w:right w:w="0" w:type="dxa"/>
        </w:tblCellMar>
      </w:tblPr>
      <w:tblGrid>
        <w:gridCol w:w="1745"/>
        <w:gridCol w:w="60"/>
        <w:gridCol w:w="182"/>
        <w:gridCol w:w="337"/>
        <w:gridCol w:w="87"/>
        <w:gridCol w:w="87"/>
        <w:gridCol w:w="182"/>
        <w:gridCol w:w="341"/>
        <w:gridCol w:w="6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5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 allowance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 was no allowance for doubtful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5095" w:type="dxa"/>
        <w:jc w:val="left"/>
        <w:tblInd w:w="0" w:type="dxa"/>
        <w:tblLayout w:type="fixed"/>
        <w:tblCellMar>
          <w:top w:w="0" w:type="dxa"/>
          <w:left w:w="0" w:type="dxa"/>
          <w:bottom w:w="0" w:type="dxa"/>
          <w:right w:w="0" w:type="dxa"/>
        </w:tblCellMar>
      </w:tblPr>
      <w:tblGrid>
        <w:gridCol w:w="215"/>
        <w:gridCol w:w="488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6.</w:t>
            </w:r>
            <w:r>
              <w:rPr>
                <w:rFonts w:ascii="Times New Roman;Times;serif" w:hAnsi="Times New Roman;Times;serif"/>
                <w:b/>
                <w:caps w:val="false"/>
                <w:smallCaps w:val="false"/>
                <w:sz w:val="20"/>
              </w:rPr>
              <w:t xml:space="preserve"> </w:t>
            </w:r>
          </w:p>
        </w:tc>
        <w:tc>
          <w:tcPr>
            <w:tcW w:w="48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093" w:type="dxa"/>
        <w:jc w:val="left"/>
        <w:tblInd w:w="0" w:type="dxa"/>
        <w:tblLayout w:type="fixed"/>
        <w:tblCellMar>
          <w:top w:w="0" w:type="dxa"/>
          <w:left w:w="0" w:type="dxa"/>
          <w:bottom w:w="0" w:type="dxa"/>
          <w:right w:w="0" w:type="dxa"/>
        </w:tblCellMar>
      </w:tblPr>
      <w:tblGrid>
        <w:gridCol w:w="3755"/>
        <w:gridCol w:w="60"/>
        <w:gridCol w:w="128"/>
        <w:gridCol w:w="497"/>
        <w:gridCol w:w="61"/>
        <w:gridCol w:w="61"/>
        <w:gridCol w:w="128"/>
        <w:gridCol w:w="343"/>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equipment and service invoices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 premiums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lease costs and receivables- short term</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4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receivables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r>
              <w:rPr>
                <w:rFonts w:ascii="Times New Roman;Times;serif" w:hAnsi="Times New Roman;Times;serif"/>
                <w:b/>
                <w:caps w:val="false"/>
                <w:smallCaps w:val="false"/>
                <w:sz w:val="20"/>
              </w:rPr>
              <w:t xml:space="preserve"> </w:t>
            </w:r>
          </w:p>
        </w:tc>
        <w:tc>
          <w:tcPr>
            <w:tcW w:w="13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2736" w:type="dxa"/>
        <w:jc w:val="left"/>
        <w:tblInd w:w="0" w:type="dxa"/>
        <w:tblLayout w:type="fixed"/>
        <w:tblCellMar>
          <w:top w:w="0" w:type="dxa"/>
          <w:left w:w="0" w:type="dxa"/>
          <w:bottom w:w="0" w:type="dxa"/>
          <w:right w:w="0" w:type="dxa"/>
        </w:tblCellMar>
      </w:tblPr>
      <w:tblGrid>
        <w:gridCol w:w="1400"/>
        <w:gridCol w:w="60"/>
        <w:gridCol w:w="182"/>
        <w:gridCol w:w="337"/>
        <w:gridCol w:w="87"/>
        <w:gridCol w:w="87"/>
        <w:gridCol w:w="182"/>
        <w:gridCol w:w="341"/>
        <w:gridCol w:w="6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5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progress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995" w:type="dxa"/>
        <w:jc w:val="left"/>
        <w:tblInd w:w="0" w:type="dxa"/>
        <w:tblLayout w:type="fixed"/>
        <w:tblCellMar>
          <w:top w:w="0" w:type="dxa"/>
          <w:left w:w="0" w:type="dxa"/>
          <w:bottom w:w="0" w:type="dxa"/>
          <w:right w:w="0" w:type="dxa"/>
        </w:tblCellMar>
      </w:tblPr>
      <w:tblGrid>
        <w:gridCol w:w="215"/>
        <w:gridCol w:w="278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8.</w:t>
            </w:r>
            <w:r>
              <w:rPr>
                <w:rFonts w:ascii="Times New Roman;Times;serif" w:hAnsi="Times New Roman;Times;serif"/>
                <w:b/>
                <w:caps w:val="false"/>
                <w:smallCaps w:val="false"/>
                <w:sz w:val="20"/>
              </w:rPr>
              <w:t xml:space="preserve"> </w:t>
            </w:r>
          </w:p>
        </w:tc>
        <w:tc>
          <w:tcPr>
            <w:tcW w:w="27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4025"/>
        <w:gridCol w:w="60"/>
        <w:gridCol w:w="125"/>
        <w:gridCol w:w="590"/>
        <w:gridCol w:w="80"/>
        <w:gridCol w:w="60"/>
        <w:gridCol w:w="125"/>
        <w:gridCol w:w="590"/>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building,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 furnishings,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Depreciation expense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$311 and $310, respectively, and is included in selling, marketing,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505" w:type="dxa"/>
        <w:jc w:val="left"/>
        <w:tblInd w:w="0" w:type="dxa"/>
        <w:tblLayout w:type="fixed"/>
        <w:tblCellMar>
          <w:top w:w="0" w:type="dxa"/>
          <w:left w:w="0" w:type="dxa"/>
          <w:bottom w:w="0" w:type="dxa"/>
          <w:right w:w="0" w:type="dxa"/>
        </w:tblCellMar>
      </w:tblPr>
      <w:tblGrid>
        <w:gridCol w:w="215"/>
        <w:gridCol w:w="329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w:t>
            </w:r>
          </w:p>
        </w:tc>
        <w:tc>
          <w:tcPr>
            <w:tcW w:w="3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PATENTS AND TRADEMARKS,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Patents and trademarks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2975"/>
        <w:gridCol w:w="60"/>
        <w:gridCol w:w="125"/>
        <w:gridCol w:w="545"/>
        <w:gridCol w:w="80"/>
        <w:gridCol w:w="60"/>
        <w:gridCol w:w="125"/>
        <w:gridCol w:w="545"/>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and licensed patent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Internally developed patents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Amortization expense was $14 and $17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is included in research and development expense in the consolidated statements of operations and comprehensive loss. The estimated aggregate amortization expense for each of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succeeding years is as follows:</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130"/>
        <w:gridCol w:w="60"/>
        <w:gridCol w:w="387"/>
        <w:gridCol w:w="713"/>
        <w:gridCol w:w="60"/>
      </w:tblGrid>
      <w:tr>
        <w:trPr/>
        <w:tc>
          <w:tcPr>
            <w:tcW w:w="1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w:t>
            </w:r>
          </w:p>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Expense</w:t>
            </w:r>
          </w:p>
        </w:tc>
        <w:tc>
          <w:tcPr>
            <w:tcW w:w="6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3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weighted average years of amortization are as follows:</w:t>
      </w:r>
    </w:p>
    <w:p>
      <w:pPr>
        <w:pStyle w:val="TextBody"/>
        <w:bidi w:val="0"/>
        <w:spacing w:before="0" w:after="0"/>
        <w:ind w:left="0" w:right="0" w:hanging="0"/>
        <w:jc w:val="left"/>
        <w:rPr>
          <w:caps w:val="false"/>
          <w:smallCaps w:val="false"/>
        </w:rPr>
      </w:pPr>
      <w:r>
        <w:rPr>
          <w:caps w:val="false"/>
          <w:smallCaps w:val="false"/>
        </w:rPr>
        <w:t> </w:t>
      </w:r>
    </w:p>
    <w:tbl>
      <w:tblPr>
        <w:tblW w:w="4296" w:type="dxa"/>
        <w:jc w:val="left"/>
        <w:tblInd w:w="0" w:type="dxa"/>
        <w:tblLayout w:type="fixed"/>
        <w:tblCellMar>
          <w:top w:w="0" w:type="dxa"/>
          <w:left w:w="0" w:type="dxa"/>
          <w:bottom w:w="0" w:type="dxa"/>
          <w:right w:w="0" w:type="dxa"/>
        </w:tblCellMar>
      </w:tblPr>
      <w:tblGrid>
        <w:gridCol w:w="2990"/>
        <w:gridCol w:w="60"/>
        <w:gridCol w:w="100"/>
        <w:gridCol w:w="385"/>
        <w:gridCol w:w="100"/>
        <w:gridCol w:w="100"/>
        <w:gridCol w:w="100"/>
        <w:gridCol w:w="386"/>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years)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and licensed patent rights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Internally developed patents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royalties, license fees or other amounts will be payable in the future under the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purchased and licensed patents, the Company has capitalized legal and registration costs incurred to obtain and maintain the respective patents. The Company currently holds various patents and numerous pending patent applications in the United States, as well as numerous foreign counterparts to these patents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810" w:type="dxa"/>
        <w:jc w:val="left"/>
        <w:tblInd w:w="0" w:type="dxa"/>
        <w:tblLayout w:type="fixed"/>
        <w:tblCellMar>
          <w:top w:w="0" w:type="dxa"/>
          <w:left w:w="0" w:type="dxa"/>
          <w:bottom w:w="0" w:type="dxa"/>
          <w:right w:w="0" w:type="dxa"/>
        </w:tblCellMar>
      </w:tblPr>
      <w:tblGrid>
        <w:gridCol w:w="320"/>
        <w:gridCol w:w="1490"/>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10.</w:t>
            </w:r>
            <w:r>
              <w:rPr>
                <w:rFonts w:ascii="Times New Roman;Times;serif" w:hAnsi="Times New Roman;Times;serif"/>
                <w:b/>
                <w:caps w:val="false"/>
                <w:smallCaps w:val="false"/>
                <w:sz w:val="20"/>
              </w:rPr>
              <w:t xml:space="preserve"> </w:t>
            </w:r>
          </w:p>
        </w:tc>
        <w:tc>
          <w:tcPr>
            <w:tcW w:w="14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2619" w:type="dxa"/>
        <w:jc w:val="left"/>
        <w:tblInd w:w="0" w:type="dxa"/>
        <w:tblLayout w:type="fixed"/>
        <w:tblCellMar>
          <w:top w:w="0" w:type="dxa"/>
          <w:left w:w="0" w:type="dxa"/>
          <w:bottom w:w="0" w:type="dxa"/>
          <w:right w:w="0" w:type="dxa"/>
        </w:tblCellMar>
      </w:tblPr>
      <w:tblGrid>
        <w:gridCol w:w="1280"/>
        <w:gridCol w:w="60"/>
        <w:gridCol w:w="163"/>
        <w:gridCol w:w="437"/>
        <w:gridCol w:w="78"/>
        <w:gridCol w:w="78"/>
        <w:gridCol w:w="163"/>
        <w:gridCol w:w="300"/>
        <w:gridCol w:w="6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4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Utility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545" w:type="dxa"/>
        <w:jc w:val="left"/>
        <w:tblInd w:w="0" w:type="dxa"/>
        <w:tblLayout w:type="fixed"/>
        <w:tblCellMar>
          <w:top w:w="0" w:type="dxa"/>
          <w:left w:w="0" w:type="dxa"/>
          <w:bottom w:w="0" w:type="dxa"/>
          <w:right w:w="0" w:type="dxa"/>
        </w:tblCellMar>
      </w:tblPr>
      <w:tblGrid>
        <w:gridCol w:w="320"/>
        <w:gridCol w:w="222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11.</w:t>
            </w:r>
            <w:r>
              <w:rPr>
                <w:rFonts w:ascii="Times New Roman;Times;serif" w:hAnsi="Times New Roman;Times;serif"/>
                <w:b/>
                <w:caps w:val="false"/>
                <w:smallCaps w:val="false"/>
                <w:sz w:val="20"/>
              </w:rPr>
              <w:t xml:space="preserve"> </w:t>
            </w:r>
          </w:p>
        </w:tc>
        <w:tc>
          <w:tcPr>
            <w:tcW w:w="222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ACCRUED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551" w:type="dxa"/>
        <w:jc w:val="left"/>
        <w:tblInd w:w="0" w:type="dxa"/>
        <w:tblLayout w:type="fixed"/>
        <w:tblCellMar>
          <w:top w:w="0" w:type="dxa"/>
          <w:left w:w="0" w:type="dxa"/>
          <w:bottom w:w="0" w:type="dxa"/>
          <w:right w:w="0" w:type="dxa"/>
        </w:tblCellMar>
      </w:tblPr>
      <w:tblGrid>
        <w:gridCol w:w="3215"/>
        <w:gridCol w:w="60"/>
        <w:gridCol w:w="146"/>
        <w:gridCol w:w="392"/>
        <w:gridCol w:w="70"/>
        <w:gridCol w:w="70"/>
        <w:gridCol w:w="146"/>
        <w:gridCol w:w="392"/>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vacation, and bonuses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audit fees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295" w:type="dxa"/>
        <w:jc w:val="left"/>
        <w:tblInd w:w="0" w:type="dxa"/>
        <w:tblLayout w:type="fixed"/>
        <w:tblCellMar>
          <w:top w:w="0" w:type="dxa"/>
          <w:left w:w="0" w:type="dxa"/>
          <w:bottom w:w="0" w:type="dxa"/>
          <w:right w:w="0" w:type="dxa"/>
        </w:tblCellMar>
      </w:tblPr>
      <w:tblGrid>
        <w:gridCol w:w="320"/>
        <w:gridCol w:w="297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12.</w:t>
            </w:r>
            <w:r>
              <w:rPr>
                <w:rFonts w:ascii="Times New Roman;Times;serif" w:hAnsi="Times New Roman;Times;serif"/>
                <w:b/>
                <w:caps w:val="false"/>
                <w:smallCaps w:val="false"/>
                <w:sz w:val="20"/>
              </w:rPr>
              <w:t xml:space="preserve"> </w:t>
            </w:r>
          </w:p>
        </w:tc>
        <w:tc>
          <w:tcPr>
            <w:tcW w:w="29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Other current liabilities was $902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consisted of $859 of aged payables to vendors, individuals,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that have been outstanding for more than 5 years. Also included in the balance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2043</w:t>
      </w:r>
      <w:r>
        <w:rPr>
          <w:rFonts w:ascii="Times New Roman" w:hAnsi="Times New Roman"/>
          <w:caps w:val="false"/>
          <w:smallCaps w:val="false"/>
          <w:sz w:val="20"/>
        </w:rPr>
        <w:t xml:space="preserve"> is $43 in tenant deposits under the Facility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in the process of researching and resolving the balances for settlement and/or escheatment in accordance with applicable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220" w:type="dxa"/>
        <w:jc w:val="left"/>
        <w:tblInd w:w="0" w:type="dxa"/>
        <w:tblLayout w:type="fixed"/>
        <w:tblCellMar>
          <w:top w:w="0" w:type="dxa"/>
          <w:left w:w="0" w:type="dxa"/>
          <w:bottom w:w="0" w:type="dxa"/>
          <w:right w:w="0" w:type="dxa"/>
        </w:tblCellMar>
      </w:tblPr>
      <w:tblGrid>
        <w:gridCol w:w="320"/>
        <w:gridCol w:w="290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13.</w:t>
            </w:r>
            <w:r>
              <w:rPr>
                <w:rFonts w:ascii="Times New Roman;Times;serif" w:hAnsi="Times New Roman;Times;serif"/>
                <w:b/>
                <w:caps w:val="false"/>
                <w:smallCaps w:val="false"/>
                <w:sz w:val="20"/>
              </w:rPr>
              <w:t xml:space="preserve"> </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COMPENSATION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2012, </w:t>
      </w:r>
      <w:r>
        <w:rPr>
          <w:rFonts w:ascii="Times New Roman" w:hAnsi="Times New Roman"/>
          <w:caps w:val="false"/>
          <w:smallCaps w:val="false"/>
          <w:sz w:val="20"/>
        </w:rPr>
        <w:t xml:space="preserve">the Company adopted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with the approval of the shareholders, which provided for the grant of stock options to officers, employees, consultants and directors of the Company and its subsidiaries. Under this plan, the Company had outstanding grants of options to purchase 2,432,500 and 3,073,000 shares of the Company’s common stock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June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2015, </w:t>
      </w:r>
      <w:r>
        <w:rPr>
          <w:rFonts w:ascii="Times New Roman" w:hAnsi="Times New Roman"/>
          <w:caps w:val="false"/>
          <w:smallCaps w:val="false"/>
          <w:sz w:val="20"/>
        </w:rPr>
        <w:t xml:space="preserve">the Company adopted its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which provided for the grant of stock options to officers, employees, consultants and directors of the Company and its subsidiaries. A total of 40,000,000 shares of the Company’s common stock are available for issuance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All options granted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had exercise prices that were equal to the fair market value on the dates of grant. On </w:t>
      </w:r>
      <w:r>
        <w:rPr>
          <w:rStyle w:val="Emphasis"/>
          <w:rFonts w:ascii="Times New Roman" w:hAnsi="Times New Roman"/>
          <w:caps w:val="false"/>
          <w:smallCaps w:val="false"/>
          <w:sz w:val="20"/>
        </w:rPr>
        <w:t xml:space="preserve">July 7, 2021, </w:t>
      </w:r>
      <w:r>
        <w:rPr>
          <w:rFonts w:ascii="Times New Roman" w:hAnsi="Times New Roman"/>
          <w:caps w:val="false"/>
          <w:smallCaps w:val="false"/>
          <w:sz w:val="20"/>
        </w:rPr>
        <w:t xml:space="preserve">the Company granted Mr. Chung an option grant under the Company’s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as approved by the Board, to purchase up to 7,500,000 shares of Company stock.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the Company granted options on </w:t>
      </w:r>
      <w:r>
        <w:rPr>
          <w:rStyle w:val="Emphasis"/>
          <w:rFonts w:ascii="Times New Roman" w:hAnsi="Times New Roman"/>
          <w:caps w:val="false"/>
          <w:smallCaps w:val="false"/>
          <w:sz w:val="20"/>
        </w:rPr>
        <w:t xml:space="preserve">July 7, 2021 </w:t>
      </w:r>
      <w:r>
        <w:rPr>
          <w:rFonts w:ascii="Times New Roman" w:hAnsi="Times New Roman"/>
          <w:caps w:val="false"/>
          <w:smallCaps w:val="false"/>
          <w:sz w:val="20"/>
        </w:rPr>
        <w:t xml:space="preserve">to purchase 7,500,000 shares of Company common stock to Mr. Chung, options on </w:t>
      </w:r>
      <w:r>
        <w:rPr>
          <w:rStyle w:val="Emphasis"/>
          <w:rFonts w:ascii="Times New Roman" w:hAnsi="Times New Roman"/>
          <w:caps w:val="false"/>
          <w:smallCaps w:val="false"/>
          <w:sz w:val="20"/>
        </w:rPr>
        <w:t xml:space="preserve">December 16, 2021 </w:t>
      </w:r>
      <w:r>
        <w:rPr>
          <w:rFonts w:ascii="Times New Roman" w:hAnsi="Times New Roman"/>
          <w:caps w:val="false"/>
          <w:smallCaps w:val="false"/>
          <w:sz w:val="20"/>
        </w:rPr>
        <w:t xml:space="preserve">to purchase 600,000 shares of Company’s common stock to directors, and options 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to purchase 9,250,000 shares of Company’s common stock to employees and director. Under this plan, the Company had outstanding grants of options to purchase 22,861,667 and 23,511,667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January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Times New Roman" w:hAnsi="Times New Roman"/>
          <w:caps w:val="false"/>
          <w:smallCaps w:val="false"/>
          <w:sz w:val="20"/>
        </w:rPr>
        <w:t xml:space="preserve">FASB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requires all share-based payments to employees, including grants of employee stock options, to be recognized in the financial statements based on their fair values.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 The Company recorded $150 and $144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of non-cash charges for stock compensation related to amortization of the fair value of restricted stock and unvested stock options. The total compensation costs related to non-vested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recognized were $150 and $259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w:t>
      </w:r>
      <w:r>
        <w:rPr>
          <w:rStyle w:val="Emphasis"/>
          <w:rFonts w:ascii="Times New Roman" w:hAnsi="Times New Roman"/>
          <w:caps w:val="false"/>
          <w:smallCaps w:val="false"/>
          <w:sz w:val="20"/>
        </w:rPr>
        <w:t>five</w:t>
      </w:r>
      <w:r>
        <w:rPr>
          <w:rFonts w:ascii="Times New Roman" w:hAnsi="Times New Roman"/>
          <w:caps w:val="false"/>
          <w:smallCaps w:val="false"/>
          <w:sz w:val="20"/>
        </w:rPr>
        <w:t>-year period. The risk-free rate used for the period within the expected life of the options is based on U.S. Treasury rates in effect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Company’s stock option transactions:</w:t>
      </w:r>
    </w:p>
    <w:p>
      <w:pPr>
        <w:pStyle w:val="TextBody"/>
        <w:bidi w:val="0"/>
        <w:spacing w:before="0" w:after="0"/>
        <w:ind w:left="0" w:right="0" w:hanging="0"/>
        <w:jc w:val="left"/>
        <w:rPr>
          <w:caps w:val="false"/>
          <w:smallCaps w:val="false"/>
        </w:rPr>
      </w:pPr>
      <w:r>
        <w:rPr>
          <w:caps w:val="false"/>
          <w:smallCaps w:val="false"/>
        </w:rPr>
        <w:t> </w:t>
      </w:r>
    </w:p>
    <w:tbl>
      <w:tblPr>
        <w:tblW w:w="8984" w:type="dxa"/>
        <w:jc w:val="left"/>
        <w:tblInd w:w="0" w:type="dxa"/>
        <w:tblLayout w:type="fixed"/>
        <w:tblCellMar>
          <w:top w:w="0" w:type="dxa"/>
          <w:left w:w="0" w:type="dxa"/>
          <w:bottom w:w="0" w:type="dxa"/>
          <w:right w:w="0" w:type="dxa"/>
        </w:tblCellMar>
      </w:tblPr>
      <w:tblGrid>
        <w:gridCol w:w="4640"/>
        <w:gridCol w:w="60"/>
        <w:gridCol w:w="60"/>
        <w:gridCol w:w="950"/>
        <w:gridCol w:w="80"/>
        <w:gridCol w:w="60"/>
        <w:gridCol w:w="205"/>
        <w:gridCol w:w="625"/>
        <w:gridCol w:w="60"/>
        <w:gridCol w:w="60"/>
        <w:gridCol w:w="141"/>
        <w:gridCol w:w="899"/>
        <w:gridCol w:w="60"/>
        <w:gridCol w:w="60"/>
        <w:gridCol w:w="578"/>
        <w:gridCol w:w="371"/>
        <w:gridCol w:w="7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Remaining</w:t>
              <w:br/>
              <w:t>Contractual</w:t>
              <w:b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Aggregate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Intrinsic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17,956,334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27,014,667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40,294,167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unvested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18,750,189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vested or expected to vest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35,833,919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supplemental data on stock options:</w:t>
      </w:r>
    </w:p>
    <w:p>
      <w:pPr>
        <w:pStyle w:val="TextBody"/>
        <w:bidi w:val="0"/>
        <w:spacing w:before="0" w:after="0"/>
        <w:ind w:left="0" w:right="0" w:hanging="0"/>
        <w:jc w:val="left"/>
        <w:rPr>
          <w:caps w:val="false"/>
          <w:smallCaps w:val="false"/>
        </w:rPr>
      </w:pPr>
      <w:r>
        <w:rPr>
          <w:caps w:val="false"/>
          <w:smallCaps w:val="false"/>
        </w:rPr>
        <w:t> </w:t>
      </w:r>
    </w:p>
    <w:tbl>
      <w:tblPr>
        <w:tblW w:w="7118" w:type="dxa"/>
        <w:jc w:val="left"/>
        <w:tblInd w:w="0" w:type="dxa"/>
        <w:tblLayout w:type="fixed"/>
        <w:tblCellMar>
          <w:top w:w="0" w:type="dxa"/>
          <w:left w:w="0" w:type="dxa"/>
          <w:bottom w:w="0" w:type="dxa"/>
          <w:right w:w="0" w:type="dxa"/>
        </w:tblCellMar>
      </w:tblPr>
      <w:tblGrid>
        <w:gridCol w:w="4700"/>
        <w:gridCol w:w="60"/>
        <w:gridCol w:w="254"/>
        <w:gridCol w:w="773"/>
        <w:gridCol w:w="122"/>
        <w:gridCol w:w="122"/>
        <w:gridCol w:w="254"/>
        <w:gridCol w:w="773"/>
        <w:gridCol w:w="60"/>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6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grant date fair value per option granted</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options vested</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from participants to exercise stock options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Intrinsic value of options exercised</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pPr>
      <w:r>
        <w:rPr>
          <w:rFonts w:ascii="Times New Roman" w:hAnsi="Times New Roman"/>
          <w:caps w:val="false"/>
          <w:smallCaps w:val="false"/>
          <w:sz w:val="20"/>
        </w:rPr>
        <w:t xml:space="preserve">The following table summarizes the Company’s stock options outstanding and exercisable by ranges of option prices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Style w:val="Emphasis"/>
          <w:rFonts w:ascii="Times New Roman" w:hAnsi="Times New Roman"/>
          <w:b/>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8927" w:type="dxa"/>
        <w:jc w:val="left"/>
        <w:tblInd w:w="0" w:type="dxa"/>
        <w:tblLayout w:type="fixed"/>
        <w:tblCellMar>
          <w:top w:w="0" w:type="dxa"/>
          <w:left w:w="0" w:type="dxa"/>
          <w:bottom w:w="0" w:type="dxa"/>
          <w:right w:w="0" w:type="dxa"/>
        </w:tblCellMar>
      </w:tblPr>
      <w:tblGrid>
        <w:gridCol w:w="556"/>
        <w:gridCol w:w="91"/>
        <w:gridCol w:w="676"/>
        <w:gridCol w:w="60"/>
        <w:gridCol w:w="60"/>
        <w:gridCol w:w="62"/>
        <w:gridCol w:w="993"/>
        <w:gridCol w:w="60"/>
        <w:gridCol w:w="60"/>
        <w:gridCol w:w="141"/>
        <w:gridCol w:w="899"/>
        <w:gridCol w:w="60"/>
        <w:gridCol w:w="60"/>
        <w:gridCol w:w="205"/>
        <w:gridCol w:w="625"/>
        <w:gridCol w:w="60"/>
        <w:gridCol w:w="60"/>
        <w:gridCol w:w="62"/>
        <w:gridCol w:w="993"/>
        <w:gridCol w:w="60"/>
        <w:gridCol w:w="60"/>
        <w:gridCol w:w="273"/>
        <w:gridCol w:w="1741"/>
        <w:gridCol w:w="60"/>
        <w:gridCol w:w="60"/>
        <w:gridCol w:w="205"/>
        <w:gridCol w:w="625"/>
        <w:gridCol w:w="60"/>
      </w:tblGrid>
      <w:tr>
        <w:trPr/>
        <w:tc>
          <w:tcPr>
            <w:tcW w:w="556"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0" w:type="dxa"/>
            <w:tcBorders/>
            <w:vAlign w:val="center"/>
          </w:tcPr>
          <w:p>
            <w:pPr>
              <w:pStyle w:val="TableContents"/>
              <w:bidi w:val="0"/>
              <w:spacing w:before="0" w:after="283"/>
              <w:jc w:val="left"/>
              <w:rPr/>
            </w:pPr>
            <w:r>
              <w:rPr/>
              <w:t> </w:t>
            </w:r>
          </w:p>
        </w:tc>
      </w:tr>
      <w:tr>
        <w:trPr/>
        <w:tc>
          <w:tcPr>
            <w:tcW w:w="1323"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w:t>
              <w:br/>
              <w:t>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Numbers of</w:t>
              <w:br/>
              <w:t>Options</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 xml:space="preserve">Remaining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 xml:space="preserve">Exercise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Numbers of</w:t>
              <w:br/>
              <w:t>Options</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Remaining 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 xml:space="preserve">Exercise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$0.05</w:t>
            </w:r>
          </w:p>
        </w:tc>
        <w:tc>
          <w:tcPr>
            <w:tcW w:w="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13,202,311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60" w:type="dxa"/>
            <w:tcBorders/>
            <w:shd w:fill="CCEEFF" w:val="clear"/>
            <w:vAlign w:val="center"/>
          </w:tcPr>
          <w:p>
            <w:pPr>
              <w:pStyle w:val="TableContents"/>
              <w:bidi w:val="0"/>
              <w:spacing w:before="0" w:after="283"/>
              <w:jc w:val="left"/>
              <w:rPr/>
            </w:pPr>
            <w:r>
              <w:rPr/>
              <w:t> </w:t>
            </w:r>
          </w:p>
        </w:tc>
      </w:tr>
      <w:tr>
        <w:trPr/>
        <w:tc>
          <w:tcPr>
            <w:tcW w:w="5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$0.14</w:t>
            </w:r>
          </w:p>
        </w:tc>
        <w:tc>
          <w:tcPr>
            <w:tcW w:w="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r>
      <w:tr>
        <w:trPr/>
        <w:tc>
          <w:tcPr>
            <w:tcW w:w="5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$0.23</w:t>
            </w:r>
          </w:p>
        </w:tc>
        <w:tc>
          <w:tcPr>
            <w:tcW w:w="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p>
        </w:tc>
        <w:tc>
          <w:tcPr>
            <w:tcW w:w="60" w:type="dxa"/>
            <w:tcBorders/>
            <w:shd w:fill="FFFFFF" w:val="clear"/>
            <w:vAlign w:val="center"/>
          </w:tcPr>
          <w:p>
            <w:pPr>
              <w:pStyle w:val="TableContents"/>
              <w:bidi w:val="0"/>
              <w:spacing w:before="0" w:after="283"/>
              <w:jc w:val="left"/>
              <w:rPr/>
            </w:pPr>
            <w:r>
              <w:rPr/>
              <w:t> </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$0.38</w:t>
            </w:r>
          </w:p>
        </w:tc>
        <w:tc>
          <w:tcPr>
            <w:tcW w:w="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r>
      <w:tr>
        <w:trPr/>
        <w:tc>
          <w:tcPr>
            <w:tcW w:w="55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323" w:type="dxa"/>
            <w:gridSpan w:val="3"/>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40,294,167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21,468,978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27" w:type="dxa"/>
        <w:jc w:val="left"/>
        <w:tblInd w:w="0" w:type="dxa"/>
        <w:tblLayout w:type="fixed"/>
        <w:tblCellMar>
          <w:top w:w="0" w:type="dxa"/>
          <w:left w:w="0" w:type="dxa"/>
          <w:bottom w:w="0" w:type="dxa"/>
          <w:right w:w="0" w:type="dxa"/>
        </w:tblCellMar>
      </w:tblPr>
      <w:tblGrid>
        <w:gridCol w:w="556"/>
        <w:gridCol w:w="91"/>
        <w:gridCol w:w="676"/>
        <w:gridCol w:w="60"/>
        <w:gridCol w:w="60"/>
        <w:gridCol w:w="62"/>
        <w:gridCol w:w="993"/>
        <w:gridCol w:w="60"/>
        <w:gridCol w:w="60"/>
        <w:gridCol w:w="141"/>
        <w:gridCol w:w="899"/>
        <w:gridCol w:w="60"/>
        <w:gridCol w:w="60"/>
        <w:gridCol w:w="205"/>
        <w:gridCol w:w="625"/>
        <w:gridCol w:w="60"/>
        <w:gridCol w:w="60"/>
        <w:gridCol w:w="62"/>
        <w:gridCol w:w="993"/>
        <w:gridCol w:w="60"/>
        <w:gridCol w:w="60"/>
        <w:gridCol w:w="273"/>
        <w:gridCol w:w="1741"/>
        <w:gridCol w:w="60"/>
        <w:gridCol w:w="60"/>
        <w:gridCol w:w="205"/>
        <w:gridCol w:w="625"/>
        <w:gridCol w:w="60"/>
      </w:tblGrid>
      <w:tr>
        <w:trPr/>
        <w:tc>
          <w:tcPr>
            <w:tcW w:w="556"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0" w:type="dxa"/>
            <w:tcBorders/>
            <w:vAlign w:val="center"/>
          </w:tcPr>
          <w:p>
            <w:pPr>
              <w:pStyle w:val="TableContents"/>
              <w:bidi w:val="0"/>
              <w:spacing w:before="0" w:after="283"/>
              <w:jc w:val="left"/>
              <w:rPr/>
            </w:pPr>
            <w:r>
              <w:rPr/>
              <w:t> </w:t>
            </w:r>
          </w:p>
        </w:tc>
      </w:tr>
      <w:tr>
        <w:trPr/>
        <w:tc>
          <w:tcPr>
            <w:tcW w:w="1323"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w:t>
              <w:br/>
              <w:t>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Numbers of</w:t>
              <w:br/>
              <w:t>Options</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 xml:space="preserve">Remaining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 xml:space="preserve">Exercise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Numbers of</w:t>
              <w:br/>
              <w:t>Options</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Remaining 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 xml:space="preserve">Exercise </w:t>
            </w:r>
          </w:p>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$0.05</w:t>
            </w:r>
          </w:p>
        </w:tc>
        <w:tc>
          <w:tcPr>
            <w:tcW w:w="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r>
      <w:tr>
        <w:trPr/>
        <w:tc>
          <w:tcPr>
            <w:tcW w:w="5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$0.09</w:t>
            </w:r>
          </w:p>
        </w:tc>
        <w:tc>
          <w:tcPr>
            <w:tcW w:w="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jc w:val="left"/>
              <w:rPr/>
            </w:pPr>
            <w:r>
              <w:rPr/>
              <w:t> </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$0.14</w:t>
            </w:r>
          </w:p>
        </w:tc>
        <w:tc>
          <w:tcPr>
            <w:tcW w:w="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r>
      <w:tr>
        <w:trPr/>
        <w:tc>
          <w:tcPr>
            <w:tcW w:w="5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$0.23</w:t>
            </w:r>
          </w:p>
        </w:tc>
        <w:tc>
          <w:tcPr>
            <w:tcW w:w="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60" w:type="dxa"/>
            <w:tcBorders/>
            <w:shd w:fill="FFFFFF" w:val="clear"/>
            <w:vAlign w:val="center"/>
          </w:tcPr>
          <w:p>
            <w:pPr>
              <w:pStyle w:val="TableContents"/>
              <w:bidi w:val="0"/>
              <w:spacing w:before="0" w:after="283"/>
              <w:jc w:val="left"/>
              <w:rPr/>
            </w:pPr>
            <w:r>
              <w:rPr/>
              <w:t> </w:t>
            </w:r>
          </w:p>
        </w:tc>
      </w:tr>
      <w:tr>
        <w:trPr/>
        <w:tc>
          <w:tcPr>
            <w:tcW w:w="5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$0.38</w:t>
            </w:r>
          </w:p>
        </w:tc>
        <w:tc>
          <w:tcPr>
            <w:tcW w:w="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r>
      <w:tr>
        <w:trPr/>
        <w:tc>
          <w:tcPr>
            <w:tcW w:w="55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323" w:type="dxa"/>
            <w:gridSpan w:val="3"/>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26,584,667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17,056,875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Company’s non-vested options at the beginning and ending of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had weighted-average grant-date fair values of $0.09 and $0.07 per option,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125" w:type="dxa"/>
        <w:jc w:val="left"/>
        <w:tblInd w:w="0" w:type="dxa"/>
        <w:tblLayout w:type="fixed"/>
        <w:tblCellMar>
          <w:top w:w="0" w:type="dxa"/>
          <w:left w:w="0" w:type="dxa"/>
          <w:bottom w:w="0" w:type="dxa"/>
          <w:right w:w="0" w:type="dxa"/>
        </w:tblCellMar>
      </w:tblPr>
      <w:tblGrid>
        <w:gridCol w:w="320"/>
        <w:gridCol w:w="1805"/>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14.</w:t>
            </w:r>
            <w:r>
              <w:rPr>
                <w:rFonts w:ascii="Times New Roman;Times;serif" w:hAnsi="Times New Roman;Times;serif"/>
                <w:b/>
                <w:caps w:val="false"/>
                <w:smallCaps w:val="false"/>
                <w:sz w:val="20"/>
              </w:rPr>
              <w:t xml:space="preserve"> </w:t>
            </w:r>
          </w:p>
        </w:tc>
        <w:tc>
          <w:tcPr>
            <w:tcW w:w="1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FACILITY LEASES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future minimum rents due to the Company under the Facility Lease are as follows:</w:t>
      </w:r>
    </w:p>
    <w:p>
      <w:pPr>
        <w:pStyle w:val="TextBody"/>
        <w:bidi w:val="0"/>
        <w:spacing w:before="0" w:after="0"/>
        <w:ind w:left="0" w:right="0" w:hanging="0"/>
        <w:jc w:val="left"/>
        <w:rPr>
          <w:caps w:val="false"/>
          <w:smallCaps w:val="false"/>
        </w:rPr>
      </w:pPr>
      <w:r>
        <w:rPr>
          <w:caps w:val="false"/>
          <w:smallCaps w:val="false"/>
        </w:rPr>
        <w:t> </w:t>
      </w:r>
    </w:p>
    <w:tbl>
      <w:tblPr>
        <w:tblW w:w="1524" w:type="dxa"/>
        <w:jc w:val="left"/>
        <w:tblInd w:w="0" w:type="dxa"/>
        <w:tblLayout w:type="fixed"/>
        <w:tblCellMar>
          <w:top w:w="0" w:type="dxa"/>
          <w:left w:w="0" w:type="dxa"/>
          <w:bottom w:w="28" w:type="dxa"/>
          <w:right w:w="0" w:type="dxa"/>
        </w:tblCellMar>
      </w:tblPr>
      <w:tblGrid>
        <w:gridCol w:w="455"/>
        <w:gridCol w:w="60"/>
        <w:gridCol w:w="191"/>
        <w:gridCol w:w="743"/>
        <w:gridCol w:w="75"/>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Rents</w:t>
            </w:r>
          </w:p>
        </w:tc>
        <w:tc>
          <w:tcPr>
            <w:tcW w:w="75" w:type="dxa"/>
            <w:tcBorders/>
            <w:tcMar>
              <w:bottom w:w="0" w:type="dxa"/>
            </w:tcMar>
            <w:vAlign w:val="center"/>
          </w:tcPr>
          <w:p>
            <w:pPr>
              <w:pStyle w:val="TableContents"/>
              <w:bidi w:val="0"/>
              <w:spacing w:before="0" w:after="283"/>
              <w:jc w:val="left"/>
              <w:rPr/>
            </w:pPr>
            <w:r>
              <w:rPr/>
              <w:t> </w:t>
            </w:r>
          </w:p>
        </w:tc>
      </w:tr>
      <w:tr>
        <w:trPr/>
        <w:tc>
          <w:tcPr>
            <w:tcW w:w="4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200" w:type="dxa"/>
        <w:jc w:val="left"/>
        <w:tblInd w:w="0" w:type="dxa"/>
        <w:tblLayout w:type="fixed"/>
        <w:tblCellMar>
          <w:top w:w="0" w:type="dxa"/>
          <w:left w:w="0" w:type="dxa"/>
          <w:bottom w:w="0" w:type="dxa"/>
          <w:right w:w="0" w:type="dxa"/>
        </w:tblCellMar>
      </w:tblPr>
      <w:tblGrid>
        <w:gridCol w:w="320"/>
        <w:gridCol w:w="1880"/>
      </w:tblGrid>
      <w:tr>
        <w:trPr/>
        <w:tc>
          <w:tcPr>
            <w:tcW w:w="32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w:t>
            </w:r>
          </w:p>
        </w:tc>
        <w:tc>
          <w:tcPr>
            <w:tcW w:w="18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Company entered into a non-cancelable facility lease commencing and expiring on </w:t>
      </w:r>
      <w:r>
        <w:rPr>
          <w:rStyle w:val="Emphasis"/>
          <w:rFonts w:ascii="Times New Roman" w:hAnsi="Times New Roman"/>
          <w:caps w:val="false"/>
          <w:smallCaps w:val="false"/>
          <w:sz w:val="20"/>
        </w:rPr>
        <w:t xml:space="preserve">July 3, 2028, </w:t>
      </w:r>
      <w:r>
        <w:rPr>
          <w:rFonts w:ascii="Times New Roman" w:hAnsi="Times New Roman"/>
          <w:caps w:val="false"/>
          <w:smallCaps w:val="false"/>
          <w:sz w:val="20"/>
        </w:rPr>
        <w:t xml:space="preserve">for approximately 6,600 square meters of industrial space in Hangzhou, China. The lease term is 36 months and includes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rent-free period from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October 3, 2025, </w:t>
      </w:r>
      <w:r>
        <w:rPr>
          <w:rFonts w:ascii="Times New Roman" w:hAnsi="Times New Roman"/>
          <w:caps w:val="false"/>
          <w:smallCaps w:val="false"/>
          <w:sz w:val="20"/>
        </w:rPr>
        <w:t xml:space="preserve">during which only property management fees and utilities are payable. Base rent is $29 per month. The lease is denominated in Renminbi (“RMB” or “yuan”), and the lease liability and right-of-use asset are initially measured in RMB and translated into U.S. dollars for consolidated financial reporting purposes in accordance with </w:t>
      </w:r>
      <w:r>
        <w:rPr>
          <w:rStyle w:val="Emphasis"/>
          <w:rFonts w:ascii="Times New Roman" w:hAnsi="Times New Roman"/>
          <w:caps w:val="false"/>
          <w:smallCaps w:val="false"/>
          <w:sz w:val="20"/>
        </w:rPr>
        <w:t>ASC830.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sz w:val="20"/>
        </w:rPr>
        <w:t xml:space="preserve">In accordance with ASC </w:t>
      </w:r>
      <w:r>
        <w:rPr>
          <w:rStyle w:val="Emphasis"/>
          <w:rFonts w:ascii="Times New Roman" w:hAnsi="Times New Roman"/>
          <w:sz w:val="20"/>
        </w:rPr>
        <w:t>842,</w:t>
      </w:r>
      <w:r>
        <w:rPr>
          <w:rFonts w:ascii="Times New Roman" w:hAnsi="Times New Roman"/>
          <w:sz w:val="20"/>
        </w:rPr>
        <w:t xml:space="preserve"> the components of lease expense were as follows:</w:t>
      </w:r>
    </w:p>
    <w:p>
      <w:pPr>
        <w:pStyle w:val="TextBody"/>
        <w:bidi w:val="0"/>
        <w:spacing w:before="0" w:after="0"/>
        <w:ind w:left="0" w:right="0" w:hanging="0"/>
        <w:jc w:val="left"/>
        <w:rPr/>
      </w:pPr>
      <w:r>
        <w:rPr/>
        <w:t> </w:t>
      </w:r>
    </w:p>
    <w:tbl>
      <w:tblPr>
        <w:tblW w:w="4078" w:type="dxa"/>
        <w:jc w:val="left"/>
        <w:tblInd w:w="0" w:type="dxa"/>
        <w:tblLayout w:type="fixed"/>
        <w:tblCellMar>
          <w:top w:w="0" w:type="dxa"/>
          <w:left w:w="0" w:type="dxa"/>
          <w:bottom w:w="28" w:type="dxa"/>
          <w:right w:w="0" w:type="dxa"/>
        </w:tblCellMar>
      </w:tblPr>
      <w:tblGrid>
        <w:gridCol w:w="2870"/>
        <w:gridCol w:w="60"/>
        <w:gridCol w:w="169"/>
        <w:gridCol w:w="315"/>
        <w:gridCol w:w="60"/>
        <w:gridCol w:w="60"/>
        <w:gridCol w:w="295"/>
        <w:gridCol w:w="189"/>
        <w:gridCol w:w="60"/>
      </w:tblGrid>
      <w:tr>
        <w:trPr/>
        <w:tc>
          <w:tcPr>
            <w:tcW w:w="28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 the years ended December 31,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2025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2024 </w:t>
            </w:r>
          </w:p>
        </w:tc>
        <w:tc>
          <w:tcPr>
            <w:tcW w:w="60" w:type="dxa"/>
            <w:tcBorders/>
            <w:tcMar>
              <w:bottom w:w="0"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 xml:space="preserve">In accordance with ASC </w:t>
      </w:r>
      <w:r>
        <w:rPr>
          <w:rStyle w:val="Emphasis"/>
          <w:rFonts w:ascii="Times New Roman" w:hAnsi="Times New Roman"/>
          <w:sz w:val="20"/>
        </w:rPr>
        <w:t>842,</w:t>
      </w:r>
      <w:r>
        <w:rPr>
          <w:rFonts w:ascii="Times New Roman" w:hAnsi="Times New Roman"/>
          <w:sz w:val="20"/>
        </w:rPr>
        <w:t xml:space="preserve"> other information related to leases was as follows:</w:t>
      </w:r>
    </w:p>
    <w:p>
      <w:pPr>
        <w:pStyle w:val="TextBody"/>
        <w:bidi w:val="0"/>
        <w:spacing w:before="0" w:after="0"/>
        <w:ind w:left="0" w:right="0" w:hanging="0"/>
        <w:jc w:val="left"/>
        <w:rPr/>
      </w:pPr>
      <w:r>
        <w:rPr/>
        <w:t> </w:t>
      </w:r>
    </w:p>
    <w:tbl>
      <w:tblPr>
        <w:tblW w:w="6913" w:type="dxa"/>
        <w:jc w:val="left"/>
        <w:tblInd w:w="0" w:type="dxa"/>
        <w:tblLayout w:type="fixed"/>
        <w:tblCellMar>
          <w:top w:w="0" w:type="dxa"/>
          <w:left w:w="0" w:type="dxa"/>
          <w:bottom w:w="28" w:type="dxa"/>
          <w:right w:w="0" w:type="dxa"/>
        </w:tblCellMar>
      </w:tblPr>
      <w:tblGrid>
        <w:gridCol w:w="5705"/>
        <w:gridCol w:w="60"/>
        <w:gridCol w:w="169"/>
        <w:gridCol w:w="315"/>
        <w:gridCol w:w="60"/>
        <w:gridCol w:w="60"/>
        <w:gridCol w:w="295"/>
        <w:gridCol w:w="189"/>
        <w:gridCol w:w="60"/>
      </w:tblGrid>
      <w:tr>
        <w:trPr/>
        <w:tc>
          <w:tcPr>
            <w:tcW w:w="57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 the years ended December 31,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2025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2024 </w:t>
            </w:r>
          </w:p>
        </w:tc>
        <w:tc>
          <w:tcPr>
            <w:tcW w:w="60" w:type="dxa"/>
            <w:tcBorders/>
            <w:tcMar>
              <w:bottom w:w="0" w:type="dxa"/>
            </w:tcMar>
            <w:vAlign w:val="center"/>
          </w:tcPr>
          <w:p>
            <w:pPr>
              <w:pStyle w:val="TableContents"/>
              <w:bidi w:val="0"/>
              <w:spacing w:before="0" w:after="283"/>
              <w:jc w:val="left"/>
              <w:rPr/>
            </w:pPr>
            <w:r>
              <w:rPr/>
              <w:t> </w:t>
            </w:r>
          </w:p>
        </w:tc>
      </w:tr>
      <w:tr>
        <w:trPr/>
        <w:tc>
          <w:tcPr>
            <w:tcW w:w="57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 xml:space="preserve">In accordance with ASC </w:t>
      </w:r>
      <w:r>
        <w:rPr>
          <w:rStyle w:val="Emphasis"/>
          <w:rFonts w:ascii="Times New Roman" w:hAnsi="Times New Roman"/>
          <w:sz w:val="20"/>
        </w:rPr>
        <w:t>842,</w:t>
      </w:r>
      <w:r>
        <w:rPr>
          <w:rFonts w:ascii="Times New Roman" w:hAnsi="Times New Roman"/>
          <w:sz w:val="20"/>
        </w:rPr>
        <w:t xml:space="preserve"> the components of lease expense were as follows:</w:t>
      </w:r>
    </w:p>
    <w:p>
      <w:pPr>
        <w:pStyle w:val="TextBody"/>
        <w:bidi w:val="0"/>
        <w:spacing w:before="0" w:after="0"/>
        <w:ind w:left="0" w:right="0" w:hanging="0"/>
        <w:jc w:val="left"/>
        <w:rPr/>
      </w:pPr>
      <w:r>
        <w:rPr/>
        <w:t> </w:t>
      </w:r>
    </w:p>
    <w:tbl>
      <w:tblPr>
        <w:tblW w:w="5825" w:type="dxa"/>
        <w:jc w:val="left"/>
        <w:tblInd w:w="0" w:type="dxa"/>
        <w:tblLayout w:type="fixed"/>
        <w:tblCellMar>
          <w:top w:w="0" w:type="dxa"/>
          <w:left w:w="0" w:type="dxa"/>
          <w:bottom w:w="0" w:type="dxa"/>
          <w:right w:w="0" w:type="dxa"/>
        </w:tblCellMar>
      </w:tblPr>
      <w:tblGrid>
        <w:gridCol w:w="5105"/>
        <w:gridCol w:w="60"/>
        <w:gridCol w:w="125"/>
        <w:gridCol w:w="335"/>
        <w:gridCol w:w="200"/>
      </w:tblGrid>
      <w:tr>
        <w:trPr/>
        <w:tc>
          <w:tcPr>
            <w:tcW w:w="51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bottom w:val="single" w:sz="2" w:space="0" w:color="000000"/>
            </w:tcBorders>
            <w:shd w:fill="FFFF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cash flows</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terms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bottom w:val="single" w:sz="2" w:space="0" w:color="000000"/>
            </w:tcBorders>
            <w:shd w:fill="CCEE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bottom w:val="single" w:sz="2" w:space="0" w:color="000000"/>
            </w:tcBorders>
            <w:shd w:fill="CCEE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liabilities—long-term</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20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105" w:type="dxa"/>
            <w:tcBorders>
              <w:bottom w:val="single" w:sz="2" w:space="0" w:color="000000"/>
            </w:tcBorders>
            <w:shd w:fill="FFFF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Difference between undiscounted and discounted cash flows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840" w:type="dxa"/>
        <w:jc w:val="left"/>
        <w:tblInd w:w="0" w:type="dxa"/>
        <w:tblLayout w:type="fixed"/>
        <w:tblCellMar>
          <w:top w:w="0" w:type="dxa"/>
          <w:left w:w="0" w:type="dxa"/>
          <w:bottom w:w="0" w:type="dxa"/>
          <w:right w:w="0" w:type="dxa"/>
        </w:tblCellMar>
      </w:tblPr>
      <w:tblGrid>
        <w:gridCol w:w="320"/>
        <w:gridCol w:w="152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16.</w:t>
            </w:r>
            <w:r>
              <w:rPr>
                <w:rFonts w:ascii="Times New Roman;Times;serif" w:hAnsi="Times New Roman;Times;serif"/>
                <w:b/>
                <w:caps w:val="false"/>
                <w:smallCaps w:val="false"/>
                <w:sz w:val="20"/>
              </w:rPr>
              <w:t xml:space="preserve"> </w:t>
            </w:r>
          </w:p>
        </w:tc>
        <w:tc>
          <w:tcPr>
            <w:tcW w:w="15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 consists of the following:</w:t>
      </w:r>
    </w:p>
    <w:p>
      <w:pPr>
        <w:pStyle w:val="TextBody"/>
        <w:bidi w:val="0"/>
        <w:spacing w:before="0" w:after="0"/>
        <w:ind w:left="52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25"/>
        <w:gridCol w:w="60"/>
        <w:gridCol w:w="167"/>
        <w:gridCol w:w="528"/>
        <w:gridCol w:w="80"/>
        <w:gridCol w:w="60"/>
        <w:gridCol w:w="125"/>
        <w:gridCol w:w="650"/>
        <w:gridCol w:w="80"/>
        <w:gridCol w:w="60"/>
        <w:gridCol w:w="158"/>
        <w:gridCol w:w="747"/>
        <w:gridCol w:w="60"/>
        <w:gridCol w:w="60"/>
        <w:gridCol w:w="295"/>
        <w:gridCol w:w="190"/>
        <w:gridCol w:w="60"/>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2025:</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2024:</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Significant components of deferred tax assets are as follows:</w:t>
      </w:r>
    </w:p>
    <w:p>
      <w:pPr>
        <w:pStyle w:val="TextBody"/>
        <w:bidi w:val="0"/>
        <w:spacing w:before="0" w:after="0"/>
        <w:ind w:left="0" w:right="0" w:hanging="0"/>
        <w:jc w:val="left"/>
        <w:rPr>
          <w:caps w:val="false"/>
          <w:smallCaps w:val="false"/>
        </w:rPr>
      </w:pPr>
      <w:r>
        <w:rPr>
          <w:caps w:val="false"/>
          <w:smallCaps w:val="false"/>
        </w:rPr>
        <w:t> </w:t>
      </w:r>
    </w:p>
    <w:tbl>
      <w:tblPr>
        <w:tblW w:w="4797" w:type="dxa"/>
        <w:jc w:val="left"/>
        <w:tblInd w:w="0" w:type="dxa"/>
        <w:tblLayout w:type="fixed"/>
        <w:tblCellMar>
          <w:top w:w="0" w:type="dxa"/>
          <w:left w:w="0" w:type="dxa"/>
          <w:bottom w:w="0" w:type="dxa"/>
          <w:right w:w="0" w:type="dxa"/>
        </w:tblCellMar>
      </w:tblPr>
      <w:tblGrid>
        <w:gridCol w:w="2360"/>
        <w:gridCol w:w="60"/>
        <w:gridCol w:w="170"/>
        <w:gridCol w:w="884"/>
        <w:gridCol w:w="108"/>
        <w:gridCol w:w="81"/>
        <w:gridCol w:w="170"/>
        <w:gridCol w:w="884"/>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carry forwards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41,898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41,551</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NQSO</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 and other</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deferred tax asset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43,892</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deferred tax asset, net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valuation allowance increased $389 and increased $335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Changes in the valuation allowance are impacted by the expiration of net operating loss (“NOL”) carryforwards, current year net operating losses, and changes to future tax deductions resulting from the terms of stock compensation plans and accrued liabilities.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left"/>
        <w:rPr/>
      </w:pPr>
      <w:r>
        <w:rPr>
          <w:rFonts w:ascii="Times New Roman" w:hAnsi="Times New Roman"/>
          <w:caps w:val="false"/>
          <w:smallCaps w:val="false"/>
          <w:sz w:val="20"/>
        </w:rPr>
        <w:t xml:space="preserve">The following table accounts for the differences between the expected federal tax benefit (based on the statutory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U.S. federal income tax rate of 21%) and the actual tax provision:</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3470"/>
        <w:gridCol w:w="60"/>
        <w:gridCol w:w="125"/>
        <w:gridCol w:w="650"/>
        <w:gridCol w:w="80"/>
        <w:gridCol w:w="60"/>
        <w:gridCol w:w="60"/>
        <w:gridCol w:w="440"/>
        <w:gridCol w:w="185"/>
        <w:gridCol w:w="60"/>
        <w:gridCol w:w="125"/>
        <w:gridCol w:w="650"/>
        <w:gridCol w:w="80"/>
        <w:gridCol w:w="60"/>
        <w:gridCol w:w="60"/>
        <w:gridCol w:w="440"/>
        <w:gridCol w:w="18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18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federal tax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Permanent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utilized or expired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valuation allowance and others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approximately $151,161 of NOL carryforwards for U.S. federal income tax purposes expiring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2046.</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approximately $110,940 of NOL carryforwards for California income tax purposes expiring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2046.</w:t>
      </w:r>
      <w:r>
        <w:rPr>
          <w:rFonts w:ascii="Times New Roman" w:hAnsi="Times New Roman"/>
          <w:caps w:val="false"/>
          <w:smallCaps w:val="false"/>
          <w:sz w:val="20"/>
        </w:rPr>
        <w:t xml:space="preserve"> The Company and Liquidmetal Golf, Inc. file on a separate company basis for federal income tax purposes. Accordingly, the federal NOL carryforwards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legal entity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to offset federal taxable income of the other. Liquidmetal Golf, Inc. had approximately $983 in federal NOL carryforwards, expiring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2046.</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We recognize excess tax benefits associated with the exercise of stock options directly to shareholders’ equity only when realized. Accordingly, deferred tax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for NOL carryforwards resulting from excess tax benefits.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deferred tax assets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approximately $75 of these tax effected excess tax benefits from employee stock option exercise that are a component of our NOL carryforwards. Accordingly, additional paid-in capital will increase up to an additional $75 if and when such excess tax benefits are realized.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approximately $553 of Research &amp; Development (“R&amp;D”) credit carryforwards for U.S. federal income tax purposes expiring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2034.</w:t>
      </w:r>
      <w:r>
        <w:rPr>
          <w:rFonts w:ascii="Times New Roman" w:hAnsi="Times New Roman"/>
          <w:caps w:val="false"/>
          <w:smallCaps w:val="false"/>
          <w:sz w:val="20"/>
        </w:rPr>
        <w:t xml:space="preserve"> In addition, the Company has California R&amp;D credit carryforwards of approximately $243, which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expire under current California law.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Internal Revenue Code (“IRC”) imposes limitations on the use of NOL’s and credits following changes in ownership as defined in the IRC. The limitation could reduce the amount of benefits that would be available to offset future taxable income each year, starting with the year of an ownership change. As a result of the completion of the complex analysis required by the IRC to determine if an ownership change has occurred, the Company has determined that its annual NOL carryforward limitation under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IRC is $764 per year.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ability to realize the tax benefits associated with deferred tax assets, which includes benefits related to NOL’s, is principally dependent upon the Company’s ability to generate future taxable income from operations. The Company has provided a full valuation allowance for its net deferred tax assets due to the Company’s net operating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adopted the provisions of FASB ASC Topic </w:t>
      </w:r>
      <w:r>
        <w:rPr>
          <w:rStyle w:val="Emphasis"/>
          <w:rFonts w:ascii="Times New Roman" w:hAnsi="Times New Roman"/>
          <w:caps w:val="false"/>
          <w:smallCaps w:val="false"/>
          <w:sz w:val="20"/>
        </w:rPr>
        <w:t>470</w:t>
      </w:r>
      <w:r>
        <w:rPr>
          <w:rFonts w:ascii="Times New Roman" w:hAnsi="Times New Roman"/>
          <w:caps w:val="false"/>
          <w:smallCaps w:val="false"/>
          <w:sz w:val="20"/>
        </w:rPr>
        <w:t xml:space="preserve"> – Income Taxes. At the adoption date and as of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unrecognized tax benefits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adjustments to liabilities or operations were required. The Company recognizes interest and penalties related to uncertain tax positions in income tax expense which were $0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tax years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subject to examination by the federal and California taxing authorities,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975" w:type="dxa"/>
        <w:jc w:val="left"/>
        <w:tblInd w:w="0" w:type="dxa"/>
        <w:tblLayout w:type="fixed"/>
        <w:tblCellMar>
          <w:top w:w="0" w:type="dxa"/>
          <w:left w:w="0" w:type="dxa"/>
          <w:bottom w:w="0" w:type="dxa"/>
          <w:right w:w="0" w:type="dxa"/>
        </w:tblCellMar>
      </w:tblPr>
      <w:tblGrid>
        <w:gridCol w:w="320"/>
        <w:gridCol w:w="465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17.</w:t>
            </w:r>
            <w:r>
              <w:rPr>
                <w:rFonts w:ascii="Times New Roman;Times;serif" w:hAnsi="Times New Roman;Times;serif"/>
                <w:b/>
                <w:caps w:val="false"/>
                <w:smallCaps w:val="false"/>
                <w:sz w:val="20"/>
              </w:rPr>
              <w:t xml:space="preserve"> </w:t>
            </w:r>
          </w:p>
        </w:tc>
        <w:tc>
          <w:tcPr>
            <w:tcW w:w="4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Accumulated Other Comprehensive Income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AOCI</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presents a summary of the changes in each component of AOCI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6620"/>
        <w:gridCol w:w="60"/>
        <w:gridCol w:w="323"/>
        <w:gridCol w:w="867"/>
        <w:gridCol w:w="8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br/>
              <w:t>gains on</w:t>
              <w:br/>
              <w:t>available-for-</w:t>
              <w:br/>
              <w:t>sale securities</w:t>
            </w:r>
          </w:p>
        </w:tc>
        <w:tc>
          <w:tcPr>
            <w:tcW w:w="8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 net of tax,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 unrealized loss on investments</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 net of tax, as of December 31, 2024</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 unrealized gain on investments</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 gain on foreign currency translation</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loss, net of tax, as of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485" w:type="dxa"/>
        <w:jc w:val="left"/>
        <w:tblInd w:w="0" w:type="dxa"/>
        <w:tblLayout w:type="fixed"/>
        <w:tblCellMar>
          <w:top w:w="0" w:type="dxa"/>
          <w:left w:w="0" w:type="dxa"/>
          <w:bottom w:w="0" w:type="dxa"/>
          <w:right w:w="0" w:type="dxa"/>
        </w:tblCellMar>
      </w:tblPr>
      <w:tblGrid>
        <w:gridCol w:w="320"/>
        <w:gridCol w:w="216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18.</w:t>
            </w:r>
            <w:r>
              <w:rPr>
                <w:rFonts w:ascii="Times New Roman;Times;serif" w:hAnsi="Times New Roman;Times;serif"/>
                <w:b/>
                <w:caps w:val="false"/>
                <w:smallCaps w:val="false"/>
                <w:sz w:val="20"/>
              </w:rPr>
              <w:t xml:space="preserve"> </w:t>
            </w:r>
          </w:p>
        </w:tc>
        <w:tc>
          <w:tcPr>
            <w:tcW w:w="216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Loss Per Common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Options to purchase 40,294,167 shares of common stock at prices ranging from $0.07 to $0.57 per share were outstanding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Options to purchase 26,584,667 shares of common stock at prices ranging from $0.07 to $0.38 per share were outstanding at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Warrants to purchase 10,066,809 shares of common stock, priced at $0.07 per share, outstanding at each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665" w:type="dxa"/>
        <w:jc w:val="left"/>
        <w:tblInd w:w="0" w:type="dxa"/>
        <w:tblLayout w:type="fixed"/>
        <w:tblCellMar>
          <w:top w:w="0" w:type="dxa"/>
          <w:left w:w="0" w:type="dxa"/>
          <w:bottom w:w="0" w:type="dxa"/>
          <w:right w:w="0" w:type="dxa"/>
        </w:tblCellMar>
      </w:tblPr>
      <w:tblGrid>
        <w:gridCol w:w="320"/>
        <w:gridCol w:w="234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19.</w:t>
            </w:r>
            <w:r>
              <w:rPr>
                <w:rFonts w:ascii="Times New Roman;Times;serif" w:hAnsi="Times New Roman;Times;serif"/>
                <w:b/>
                <w:caps w:val="false"/>
                <w:smallCaps w:val="false"/>
                <w:sz w:val="20"/>
              </w:rPr>
              <w:t xml:space="preserve"> </w:t>
            </w:r>
          </w:p>
        </w:tc>
        <w:tc>
          <w:tcPr>
            <w:tcW w:w="23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the Company entered into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with Liquidmetal Technology Limited, providing for the purchase of 405,000,000 shares of the Company’s common stock for an aggregate purchase price of $63,400. Liquidmetal Technology Limited was a newly formed company owned by Professor Li. 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and also 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the Company and Eontec, entered into a license agreement pursuant to which the Company and Eontec entered into a cross-license of their respective technologies. Eontec is a publicly held Hong Kong corporation of which Professor Li is the Chairman. Eontec is also an affiliate of Yihao. Yihao is currently the Company’s primary contract manufacturer.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Professor Li is a greater-than 5% beneficial owner of the Company and serves as the Company’s Chairman. Equipment and services procured from Eontec, and their affiliates, were $439 and $612 during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has outstanding payables to Eontec, and their affiliates of $47 and $70,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00" w:type="dxa"/>
        <w:jc w:val="left"/>
        <w:tblInd w:w="0" w:type="dxa"/>
        <w:tblLayout w:type="fixed"/>
        <w:tblCellMar>
          <w:top w:w="0" w:type="dxa"/>
          <w:left w:w="0" w:type="dxa"/>
          <w:bottom w:w="0" w:type="dxa"/>
          <w:right w:w="0" w:type="dxa"/>
        </w:tblCellMar>
      </w:tblPr>
      <w:tblGrid>
        <w:gridCol w:w="320"/>
        <w:gridCol w:w="158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20.</w:t>
            </w:r>
            <w:r>
              <w:rPr>
                <w:rFonts w:ascii="Times New Roman;Times;serif" w:hAnsi="Times New Roman;Times;serif"/>
                <w:b/>
                <w:caps w:val="false"/>
                <w:smallCaps w:val="false"/>
                <w:sz w:val="20"/>
              </w:rPr>
              <w:t xml:space="preserve"> </w:t>
            </w:r>
          </w:p>
        </w:tc>
        <w:tc>
          <w:tcPr>
            <w:tcW w:w="15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The Company follows the guidance in FASB ASC Topic </w:t>
      </w:r>
      <w:r>
        <w:rPr>
          <w:rStyle w:val="Emphasis"/>
          <w:rFonts w:ascii="Times New Roman" w:hAnsi="Times New Roman"/>
          <w:caps w:val="false"/>
          <w:smallCaps w:val="false"/>
          <w:sz w:val="20"/>
        </w:rPr>
        <w:t>855,</w:t>
      </w:r>
      <w:r>
        <w:rPr>
          <w:rFonts w:ascii="Times New Roman" w:hAnsi="Times New Roman"/>
          <w:caps w:val="false"/>
          <w:smallCaps w:val="false"/>
          <w:sz w:val="20"/>
        </w:rPr>
        <w:t xml:space="preserve"> Subsequent Events (“ASC </w:t>
      </w:r>
      <w:r>
        <w:rPr>
          <w:rStyle w:val="Emphasis"/>
          <w:rFonts w:ascii="Times New Roman" w:hAnsi="Times New Roman"/>
          <w:caps w:val="false"/>
          <w:smallCaps w:val="false"/>
          <w:sz w:val="20"/>
        </w:rPr>
        <w:t>855”</w:t>
      </w:r>
      <w:r>
        <w:rPr>
          <w:rFonts w:ascii="Times New Roman" w:hAnsi="Times New Roman"/>
          <w:caps w:val="false"/>
          <w:smallCaps w:val="false"/>
          <w:sz w:val="20"/>
        </w:rPr>
        <w:t xml:space="preserve">), which provides guidance to establish general standards of accounting for and disclosures of events that occur after the balance sheet date but before the consolidated financial statements are issued or are available to be issued. ASC </w:t>
      </w:r>
      <w:r>
        <w:rPr>
          <w:rStyle w:val="Emphasis"/>
          <w:rFonts w:ascii="Times New Roman" w:hAnsi="Times New Roman"/>
          <w:caps w:val="false"/>
          <w:smallCaps w:val="false"/>
          <w:sz w:val="20"/>
        </w:rPr>
        <w:t>855</w:t>
      </w:r>
      <w:r>
        <w:rPr>
          <w:rFonts w:ascii="Times New Roman" w:hAnsi="Times New Roman"/>
          <w:caps w:val="false"/>
          <w:smallCaps w:val="false"/>
          <w:sz w:val="20"/>
        </w:rPr>
        <w:t xml:space="preserve"> sets forth (i) the period after the balance sheet date during which management of a reporting entity evaluates events or transactions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for potential recognition or disclosure in the consolidated financial statements, (ii) the circumstances under which an entity should recognize events or transactions occurring after the balance sheet date in its consolidated financial statements, and (iii) the disclosures that an entity should make about events or transactions that occurred after the balance sheet date. Accordingly,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subsequent events that require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60 </w:t>
      </w:r>
    </w:p>
    <w:p>
      <w:pPr>
        <w:pStyle w:val="TextBody"/>
        <w:bidi w:val="0"/>
        <w:jc w:val="left"/>
        <w:rPr/>
      </w:pPr>
      <w:bookmarkStart w:id="38" w:name="ex_929943.htm"/>
      <w:bookmarkStart w:id="39" w:name="ksex_929943"/>
      <w:bookmarkEnd w:id="38"/>
      <w:bookmarkEnd w:id="39"/>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19.1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145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8"/>
                    <a:stretch>
                      <a:fillRect/>
                    </a:stretch>
                  </pic:blipFill>
                  <pic:spPr bwMode="auto">
                    <a:xfrm>
                      <a:off x="0" y="0"/>
                      <a:ext cx="1914525" cy="523875"/>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Insider Trading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the common stock of Liquidmetal® Technologies, Inc. (the “Company”) is publicly traded, there are certain important restrictions and limitations imposed on your ability to trade Company common stock under the federal securities laws. The purchase or sale of Company common stock while aware of material nonpublic information, or the disclosure of material nonpublic information to others who then trade in the Company's common stock, is prohibited by the federal securities laws. Insider trading violations are pursued vigorously by the SEC and the U.S. Attorneys and are punished severely.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The Need For a Policy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Board of Directors has adopted this Policy Statement both to satisfy the Company's obligation to prevent insider trading and to help Company personnel avoid the severe consequences associated with violations of the insider trading laws. The Policy Statement also is intended to prevent even the appearance of improper conduct on the part of anyone employed by or associated with the Company (not just so-called insiders). We have all worked hard to establish a reputation for integrity and ethical conduct, and we cannot afford to have that reputation damaged.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The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consequences of an insider trading violation can be severe. Company personnel (or their tippees) who trade on inside information are subject to the following penalties:</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civil penalty of up to three times the profit gained or loss avoided;</w:t>
            </w:r>
          </w:p>
        </w:tc>
      </w:tr>
    </w:tbl>
    <w:tbl>
      <w:tblPr>
        <w:tblW w:w="6115" w:type="dxa"/>
        <w:jc w:val="left"/>
        <w:tblInd w:w="0" w:type="dxa"/>
        <w:tblLayout w:type="fixed"/>
        <w:tblCellMar>
          <w:top w:w="0" w:type="dxa"/>
          <w:left w:w="0" w:type="dxa"/>
          <w:bottom w:w="0" w:type="dxa"/>
          <w:right w:w="0" w:type="dxa"/>
        </w:tblCellMar>
      </w:tblPr>
      <w:tblGrid>
        <w:gridCol w:w="60"/>
        <w:gridCol w:w="170"/>
        <w:gridCol w:w="5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criminal fine of up to $5,000,000 (no matter how small the profit); and</w:t>
            </w:r>
          </w:p>
        </w:tc>
      </w:tr>
    </w:tbl>
    <w:tbl>
      <w:tblPr>
        <w:tblW w:w="2890" w:type="dxa"/>
        <w:jc w:val="left"/>
        <w:tblInd w:w="0" w:type="dxa"/>
        <w:tblLayout w:type="fixed"/>
        <w:tblCellMar>
          <w:top w:w="0" w:type="dxa"/>
          <w:left w:w="0" w:type="dxa"/>
          <w:bottom w:w="0" w:type="dxa"/>
          <w:right w:w="0" w:type="dxa"/>
        </w:tblCellMar>
      </w:tblPr>
      <w:tblGrid>
        <w:gridCol w:w="60"/>
        <w:gridCol w:w="170"/>
        <w:gridCol w:w="2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jail term of up to twenty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Also, an employee who tips information to a person who then trades is subject to the same penalties as the tippee, even if the employee did not trade and did not profit from the tippee's trading. The Company and its supervisory personnel, if they fail to take appropriate steps to prevent illegal insider trading, are subject to the following penalties: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civil penalty of up to $1,000,000 or, if greater, three times the profit gained or loss avoided as a result of the employee's violation; and</w:t>
            </w:r>
          </w:p>
        </w:tc>
      </w:tr>
    </w:tbl>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criminal penalty of up to $5,000,000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employee's failure to comply with the Company's insider trading policy may subject the employee to Company-imposed sanctions, including dismissal for cause, whether or not the employee's failure to comply results in a violation of law. Needless to say, a violation of law, or even an SEC investigation that does not result in prosecution, can tarnish one's reputation and irreparably damage a career.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1 of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Statement of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the policy of the Company that no director, officer or other employee of the Company who is aware of material nonpublic information relating to the Company may, directly or through family members or other persons or entities, (a) buy or sell securities of the Company (other than pursuant to a pre-approved trading plan that complies with SEC Rule 10b5-1), or engage in any other action to take personal advantage of that information, or (b) pass that information on to others outside the Company, including family and friends. In addition, it is the policy of the Company that no director, officer or other employee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standards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Blackout Periods</w:t>
      </w:r>
      <w:r>
        <w:rPr>
          <w:rFonts w:ascii="Times New Roman" w:hAnsi="Times New Roman"/>
          <w:caps w:val="false"/>
          <w:smallCaps w:val="false"/>
          <w:sz w:val="20"/>
          <w:u w:val="single"/>
        </w:rPr>
        <w:t>.</w:t>
      </w:r>
      <w:r>
        <w:rPr>
          <w:rFonts w:ascii="Times New Roman" w:hAnsi="Times New Roman"/>
          <w:caps w:val="false"/>
          <w:smallCaps w:val="false"/>
          <w:sz w:val="20"/>
        </w:rPr>
        <w:t xml:space="preserve"> From time to time, the Company’s management may determine that, in light of material nonpublic events then affecting the Company, some or all employees and directors should be prohibited from trading Company securities for a specified period of time (a so-called blackout period), even if they are not aware of such material nonpublic events. In this case, the Company’s management will notify the selected employees and directors (or all employees or directors, if determined by management) that they are being subjected to a prohibition on trading Company securities for the period of time specified in the notice. It is important to note that the event giving rise to the blackout period will typically not be announced, but all notified persons will nevertheless be required to comply with the blackout period limitations. The blackout period restrictions will be in addition to, and not in lieu of, the other restrictions and limitation imposed by this Policy Statement, and the failure of management to designate a person as being subject to a blackout will not relieve that person of the obligation to refrain from trading while aware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Disclosure Of Information To Others</w:t>
      </w:r>
      <w:r>
        <w:rPr>
          <w:rFonts w:ascii="Times New Roman" w:hAnsi="Times New Roman"/>
          <w:i/>
          <w:caps w:val="false"/>
          <w:smallCaps w:val="false"/>
          <w:sz w:val="20"/>
          <w:u w:val="single"/>
        </w:rPr>
        <w:t>.</w:t>
      </w:r>
      <w:r>
        <w:rPr>
          <w:rFonts w:ascii="Times New Roman" w:hAnsi="Times New Roman"/>
          <w:caps w:val="false"/>
          <w:smallCaps w:val="false"/>
          <w:sz w:val="20"/>
        </w:rPr>
        <w:t>  The Company is required under Regulation FD of the federal securities laws to avoid the selective disclosure of material nonpublic information. The Company has established procedures for releasing material information in a manner that is designed to achieve broad public dissemination of the information immediately upon its release. You may not, therefore, disclose information to anyone outside the Company, including family members and friends, other than in accordance with those procedures. You also may not discuss the Company or its business in an internet "chat room" or similar internet-based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Material Information</w:t>
      </w:r>
      <w:r>
        <w:rPr>
          <w:rFonts w:ascii="Times New Roman" w:hAnsi="Times New Roman"/>
          <w:i/>
          <w:caps w:val="false"/>
          <w:smallCaps w:val="false"/>
          <w:sz w:val="20"/>
          <w:u w:val="single"/>
        </w:rPr>
        <w:t>.</w:t>
      </w:r>
      <w:r>
        <w:rPr>
          <w:rFonts w:ascii="Times New Roman" w:hAnsi="Times New Roman"/>
          <w:caps w:val="false"/>
          <w:smallCaps w:val="false"/>
          <w:sz w:val="20"/>
        </w:rPr>
        <w:t>  “Material” information is any information that a reasonable investor would consider important in making a decision to buy, hold, or sell securities. Any information that could be expected to affect the Company's stock price, whether it is positive or negative, should be considered material. Some examples of information that ordinarily would be regarded as material are:</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Projections of future earnings or losses, or other earnings guidance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that are inconsistent with the consensus expectations of the investment community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pending or proposed merger, acquisition or tender offer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pending or proposed acquisition or disposition of a significant asset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change in dividend policy, the declaration of a stock split, or an offering of additional securities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change in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 of a significant new product or process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Impending bankruptcy or the existence of severe liquidity problems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gain or loss of a significant customer or supplier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2 of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Twenty-Twenty Hindsight</w:t>
      </w:r>
      <w:r>
        <w:rPr>
          <w:rFonts w:ascii="Times New Roman" w:hAnsi="Times New Roman"/>
          <w:i/>
          <w:caps w:val="false"/>
          <w:smallCaps w:val="false"/>
          <w:sz w:val="20"/>
          <w:u w:val="single"/>
        </w:rPr>
        <w:t>.</w:t>
      </w:r>
      <w:r>
        <w:rPr>
          <w:rFonts w:ascii="Times New Roman" w:hAnsi="Times New Roman"/>
          <w:caps w:val="false"/>
          <w:smallCaps w:val="false"/>
          <w:sz w:val="20"/>
        </w:rPr>
        <w:t>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When Information is "Public".</w:t>
      </w:r>
      <w:r>
        <w:rPr>
          <w:rFonts w:ascii="Times New Roman" w:hAnsi="Times New Roman"/>
          <w:caps w:val="false"/>
          <w:smallCaps w:val="false"/>
          <w:sz w:val="20"/>
        </w:rPr>
        <w:t xml:space="preserve"> If you are aware of material nonpublic information, you may not trade until the information has been disclosed broadly to the marketplace (such as by press release or an SEC filing) and the investing public has had time to absorb the information fully. Information will not be considered fully absorbed by the marketplace until after the second business day after the information is released. If, for example, the Company were to make an announcement on a Monday, you should not trade in the Company's securities until Thursday. If an announcement were made on a Friday, Wednesday would be the first eligible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Transactions by Family Members</w:t>
      </w:r>
      <w:r>
        <w:rPr>
          <w:rFonts w:ascii="Times New Roman" w:hAnsi="Times New Roman"/>
          <w:i/>
          <w:caps w:val="false"/>
          <w:smallCaps w:val="false"/>
          <w:sz w:val="20"/>
          <w:u w:val="single"/>
        </w:rPr>
        <w:t>.</w:t>
      </w:r>
      <w:r>
        <w:rPr>
          <w:rFonts w:ascii="Times New Roman" w:hAnsi="Times New Roman"/>
          <w:caps w:val="false"/>
          <w:smallCaps w:val="false"/>
          <w:sz w:val="20"/>
        </w:rPr>
        <w:t xml:space="preserve"> The insider trading policy also applies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the transactions of these other persons and therefore should make them aware of the need to confer with you before they trade in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Stock Option Exercises</w:t>
      </w:r>
      <w:r>
        <w:rPr>
          <w:rFonts w:ascii="Times New Roman" w:hAnsi="Times New Roman"/>
          <w:i/>
          <w:caps w:val="false"/>
          <w:smallCaps w:val="false"/>
          <w:sz w:val="20"/>
          <w:u w:val="single"/>
        </w:rPr>
        <w:t>.</w:t>
      </w:r>
      <w:r>
        <w:rPr>
          <w:rFonts w:ascii="Times New Roman" w:hAnsi="Times New Roman"/>
          <w:caps w:val="false"/>
          <w:smallCaps w:val="false"/>
          <w:sz w:val="20"/>
        </w:rPr>
        <w:t xml:space="preserve"> The Company's insider trading policy does not apply to the exercise of an employee stock option. The policy does apply, however, to any sale of stock as part of a broker-assisted cashless exercise of an option (if such is permitted by the Company), or any other market sale for the purpose of generating the cash needed to pay the exercise price of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Margin Loans and Stock Pledges</w:t>
      </w:r>
      <w:r>
        <w:rPr>
          <w:rFonts w:ascii="Times New Roman" w:hAnsi="Times New Roman"/>
          <w:caps w:val="false"/>
          <w:smallCaps w:val="false"/>
          <w:sz w:val="20"/>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borrower is aware of material nonpublic information or otherwise is not permitted to trade in Company stock, directors, officers, and other employees are prohibited from holding Company stock in a margin account or pledging Company stock as collateral for a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Short Sale</w:t>
      </w:r>
      <w:r>
        <w:rPr>
          <w:rFonts w:ascii="Times New Roman" w:hAnsi="Times New Roman"/>
          <w:i/>
          <w:caps w:val="false"/>
          <w:smallCaps w:val="false"/>
          <w:sz w:val="20"/>
          <w:u w:val="single"/>
        </w:rPr>
        <w:t>s</w:t>
      </w:r>
      <w:r>
        <w:rPr>
          <w:rFonts w:ascii="Times New Roman" w:hAnsi="Times New Roman"/>
          <w:caps w:val="false"/>
          <w:smallCaps w:val="false"/>
          <w:sz w:val="20"/>
        </w:rPr>
        <w:t>. No director, officer, or employee may, directly or indirectly, sell any equity security, including derivatives, of the Company if the person selling the security or his principal (1) does not own the security sold, or (2) if owning the security, does not deliver it against such sale within 20 days thereafter, or does not within five days after such sale deposit it in the mail or other usual channels of transportation. A “short sale” is any transaction whereby one may benefit from a decline in the Company’s stock price.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Short-term Trades</w:t>
      </w:r>
      <w:r>
        <w:rPr>
          <w:rFonts w:ascii="Times New Roman" w:hAnsi="Times New Roman"/>
          <w:caps w:val="false"/>
          <w:smallCaps w:val="false"/>
          <w:sz w:val="20"/>
        </w:rPr>
        <w:t>. An employee's short-term trading of the Company's securities may be distracting to the employee and may unduly focus the employee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or type during the six months following the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Publicly Traded Options</w:t>
      </w:r>
      <w:r>
        <w:rPr>
          <w:rFonts w:ascii="Times New Roman" w:hAnsi="Times New Roman"/>
          <w:caps w:val="false"/>
          <w:smallCaps w:val="false"/>
          <w:sz w:val="20"/>
        </w:rPr>
        <w:t>. A transaction in options is, in effect, a bet on the short-term movement of the Company's stock and therefore creates the appearance that the director or employee is trading based on inside information. Transactions in options also may focus the director's or employee's attention on short-term performance at the expense of the Company's long-term objectives. Accordingly, transactions in puts, calls, or other derivative securities, on an exchange or in any other organized market, are prohibited by this Policy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3 of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u w:val="single"/>
        </w:rPr>
        <w:t>Post-Termination Transactions</w:t>
      </w:r>
      <w:r>
        <w:rPr>
          <w:rFonts w:ascii="Times New Roman" w:hAnsi="Times New Roman"/>
          <w:i/>
          <w:caps w:val="false"/>
          <w:smallCaps w:val="false"/>
          <w:sz w:val="20"/>
          <w:u w:val="single"/>
        </w:rPr>
        <w:t>.</w:t>
      </w:r>
      <w:r>
        <w:rPr>
          <w:rFonts w:ascii="Times New Roman" w:hAnsi="Times New Roman"/>
          <w:caps w:val="false"/>
          <w:smallCaps w:val="false"/>
          <w:sz w:val="20"/>
        </w:rPr>
        <w:t xml:space="preserve"> The Policy Statement continues to apply to your transactions in Company securities even after you have terminated employment. If you are in possession of material nonpublic information when your employment terminates, you may not trade in Company securities until that information has become public or is no longer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Additional Restrictions Applicable to Executive Officers, Directors, and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restrictions set forth above, persons who serve as directors, executive officers, and key employees of the Company, as well as officers, directors, and key employees of certain subsidiaries of the Company (collectively referred to as “Covered Persons”), are subject to additional restrictions on when they may purchase or sell Company common stock. YOU WILL BE NOTIFIED BY THE COMPANY IF THE COMPANY CONSIDERS YOU TO BE A “COVERED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adopted that policy that all Covered Persons must contact the Company’s Chief Executive Officer in advance of making any commitment to purchase (or otherwise acquire) or sell (or otherwise dispose of) Company stock. In addition, a Covered Person is only permitted to purchase or sell Company common stock during four “window periods,” provided that the Covered Person is not then in possession of material nonpublic information concerning the Company. These window periods begin on the third trading day after the Company’s public release of its quarterly or annual results of operations. Each window period lasts for thirty (30) calendar days. However, even if a Covered Person desires to sell Company common stock during a window period, the Covered Person must still pre-clear the trade with the Chief Executive Officer to ensure that no inadvertent violation of the insider trading laws occurs. Sales outside the window periods may be allowed under certain limited circumstances (such as sales pursuant to a pre-approved trading plan that complies with SEC Rule 10b5-1), provided of course that no material nonpublic information then exists concerning the Company and you pre-clear your transaction with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Company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person who has a question about this Policy Statement or its application to any proposed transaction may obtain additional guidance from Tony Chung at (949) 635-2170 or tony.chung@liquidmetal.com. Ultimately, however, the responsibility for adhering to this Policy Statement and avoiding unlawful transactions rests with the individual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Page 4 of 4</w:t>
      </w:r>
    </w:p>
    <w:p>
      <w:pPr>
        <w:pStyle w:val="TextBody"/>
        <w:bidi w:val="0"/>
        <w:spacing w:before="0" w:after="0"/>
        <w:ind w:left="0" w:right="0" w:hanging="0"/>
        <w:jc w:val="right"/>
        <w:rPr>
          <w:rFonts w:ascii="Times New Roman;Times;serif" w:hAnsi="Times New Roman;Times;serif"/>
          <w:b/>
          <w:sz w:val="20"/>
        </w:rPr>
      </w:pPr>
      <w:bookmarkStart w:id="40" w:name="ex_929944.htm"/>
      <w:bookmarkStart w:id="41" w:name="ksex_929944"/>
      <w:bookmarkEnd w:id="40"/>
      <w:bookmarkEnd w:id="41"/>
      <w:r>
        <w:rPr>
          <w:rFonts w:ascii="Times New Roman;Times;serif" w:hAnsi="Times New Roman;Times;serif"/>
          <w:b/>
          <w:sz w:val="20"/>
        </w:rPr>
        <w:t>Exhibit 19.2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LIQUIDMETAL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30452 Esperanza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Rancho Santa Margarita, California 92688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Vincent Carrubba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20321 Valencia Circle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Lake Forest, CA 92630</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305"/>
        <w:gridCol w:w="2465"/>
      </w:tblGrid>
      <w:tr>
        <w:trPr/>
        <w:tc>
          <w:tcPr>
            <w:tcW w:w="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w:t>
            </w:r>
          </w:p>
        </w:tc>
        <w:tc>
          <w:tcPr>
            <w:tcW w:w="24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of Control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Liquidmetal Technologies, Inc. (the “</w:t>
      </w:r>
      <w:r>
        <w:rPr>
          <w:rFonts w:ascii="Times New Roman" w:hAnsi="Times New Roman"/>
          <w:caps w:val="false"/>
          <w:smallCaps w:val="false"/>
          <w:sz w:val="20"/>
          <w:u w:val="single"/>
        </w:rPr>
        <w:t>Company</w:t>
      </w:r>
      <w:r>
        <w:rPr>
          <w:rFonts w:ascii="Times New Roman" w:hAnsi="Times New Roman"/>
          <w:caps w:val="false"/>
          <w:smallCaps w:val="false"/>
          <w:sz w:val="20"/>
        </w:rPr>
        <w:t>”) has determined that it is in the best interest of the Company and its stockholders for the Company to agree to provide benefits to those executives, including yourself, who are responsible for the policy-making functions of the Company and the overall viability of the Company’s business, in the event that such executives should leave the employ of the Company under the circumstances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Company recognizes that circumstances may arise in which a potential change in control of the Company arises, through proposed acquisition or otherwise, thereby causing a potential conflict of interest between the Company’s needs for you to remain focused on the Company’s business and for the necessary continuity in management prior to and following a change in control, and your reasonable personal concerns regarding future employment with the Company and economic protection in the event of loss of employment as a consequence of a change in control;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Board believes it important, should the Company receive proposals from third parties with respect to its future, to enable you, without being influenced by the uncertainties of your own employment situation and in addition to your regular duties, to assess and advise the Board whether such proposals would be in the best interest of the Company and its stockholders and to take such other action regarding such proposals as the Board might determine to be appropriate;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Board also wishes to demonstrate to executives of the Company that the Company is concerned with welfare of its executives and intends to see that loyal executives are treated fairly.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to assure the Company that it will have your continued dedication and the availability of your advice and counsel notwithstanding the possibility or occurrence of a change of control of the Company, and to induce you to remain in the employ of the Company, and for other good and valuable consideration, the Company hereby agrees with you as follows in this Change of Control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Severance Benefits.</w:t>
            </w:r>
            <w:r>
              <w:rPr>
                <w:rFonts w:ascii="Times New Roman;Times;serif" w:hAnsi="Times New Roman;Times;serif"/>
                <w:caps w:val="false"/>
                <w:smallCaps w:val="false"/>
                <w:sz w:val="20"/>
              </w:rPr>
              <w:t>  In the event that: (i) a Change of Control is consummated, (ii) your employment with the Company is thereafter terminated by the Company for any reason other than for Cause or you terminate your employment with the Company for Good Reason, and (iii) such termination occurs on or before the first (1st) anniversary of the date on which the Change of Control is consumed (a “</w:t>
            </w:r>
            <w:r>
              <w:rPr>
                <w:rFonts w:ascii="Times New Roman;Times;serif" w:hAnsi="Times New Roman;Times;serif"/>
                <w:caps w:val="false"/>
                <w:smallCaps w:val="false"/>
                <w:sz w:val="20"/>
                <w:u w:val="single"/>
              </w:rPr>
              <w:t>Qualified Termination</w:t>
            </w:r>
            <w:r>
              <w:rPr>
                <w:rFonts w:ascii="Times New Roman;Times;serif" w:hAnsi="Times New Roman;Times;serif"/>
                <w:caps w:val="false"/>
                <w:smallCaps w:val="false"/>
                <w:sz w:val="20"/>
              </w:rPr>
              <w:t>”), then the Company will pay you a lump sum in cash equal to twelve (12) months of your current annual base salary at the date of such termination (the “</w:t>
            </w:r>
            <w:r>
              <w:rPr>
                <w:rFonts w:ascii="Times New Roman;Times;serif" w:hAnsi="Times New Roman;Times;serif"/>
                <w:caps w:val="false"/>
                <w:smallCaps w:val="false"/>
                <w:sz w:val="20"/>
                <w:u w:val="single"/>
              </w:rPr>
              <w:t>Severance Payment</w:t>
            </w:r>
            <w:r>
              <w:rPr>
                <w:rFonts w:ascii="Times New Roman;Times;serif" w:hAnsi="Times New Roman;Times;serif"/>
                <w:caps w:val="false"/>
                <w:smallCaps w:val="false"/>
                <w:sz w:val="20"/>
              </w:rPr>
              <w:t>”). The Severance Payment shall be paid to you, net any applicable tax or other legally required withholdings, within three (3) business days after the effective date of your 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Definitions</w:t>
            </w:r>
            <w:r>
              <w:rPr>
                <w:rFonts w:ascii="Times New Roman;Times;serif" w:hAnsi="Times New Roman;Times;serif"/>
                <w:caps w:val="false"/>
                <w:smallCaps w:val="false"/>
                <w:sz w:val="20"/>
              </w:rPr>
              <w:t>. Certain words or phrases that are initially capitalized or within quotation marks shall have the meanings provided in this Section 2 and as provided elsewhere herein. For purposes of this Agreement, the following definitions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u w:val="single"/>
              </w:rPr>
              <w:t>Cause</w:t>
            </w:r>
            <w:r>
              <w:rPr>
                <w:rFonts w:ascii="Times New Roman;Times;serif" w:hAnsi="Times New Roman;Times;serif"/>
                <w:caps w:val="false"/>
                <w:smallCaps w:val="false"/>
                <w:sz w:val="20"/>
              </w:rPr>
              <w:t>” shall mean (i) your commission of fraud, embezzlement, or other similar dishonesty or unlawful conduct with respect to Company or your employment, (ii) committing, pleading guilty, nolo contendre or no contest (or their equivalent) to, entering into a pretrial intervention or diversion program regarding, or conviction of, a felony or any crime or act involving moral turpitude, fraud, dishonesty, or misrepresentation, (iii) committing any act which could reasonably adversely affect or impact to a material degree the interests of the Company or in some manner materially injure the reputation, business, or business relationships of the Company, (iv) your failure or inability to adequately perform your duties for, or responsibilities to, the Company after notice from the Board or the Chief Executive Officer setting forth in reasonable detail the nature of such failure, which failure shall not have been remedied by you within ten (10) days of receiving such notice, or (v) any material breach by you of your Employee Obligation Agreement, as defined below. Any act, or failure to act, that is within authority given pursuant to a resolution duly adopted by the Board or based on the advice of counsel of the Company shall not provide a basis for termination for Cause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u w:val="single"/>
              </w:rPr>
              <w:t>Change of Control</w:t>
            </w:r>
            <w:r>
              <w:rPr>
                <w:rFonts w:ascii="Times New Roman;Times;serif" w:hAnsi="Times New Roman;Times;serif"/>
                <w:caps w:val="false"/>
                <w:smallCaps w:val="false"/>
                <w:sz w:val="20"/>
              </w:rPr>
              <w:t>” shall be deemed to take place if hereafter (i) any person, entity, or “group” (as described in Rule 13d-5(b)(1) promulgated under the Securities Exchange Act of 1934, as amended), other than an affiliate or subsidiary of the Company or an employee benefit plan established or maintained by the Company, a subsidiary of the Company, or any of their respective affiliates, acquires more than 50.0% of the combined voting power of the Company’s then outstanding securities; or (ii) the consummation of (A) a merger or consolidation of the Company with or into another corporation unless, after giving effect to such transaction, the stockholders of the Company immediately prior to such transaction own more than 50.0% of the aggregate voting power of the Company or the successor entity of such transaction, or (B) a sale or disposition of all or substantially all of the Company’s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u w:val="single"/>
              </w:rPr>
              <w:t>Good Reason</w:t>
            </w:r>
            <w:r>
              <w:rPr>
                <w:rFonts w:ascii="Times New Roman;Times;serif" w:hAnsi="Times New Roman;Times;serif"/>
                <w:caps w:val="false"/>
                <w:smallCaps w:val="false"/>
                <w:sz w:val="20"/>
              </w:rPr>
              <w:t>” means (i) the failure of the Company to pay your salary at no less than the rate in effect immediately prior to the Change of Control, (ii) the assignment of you to a position, responsibilities, authority level, or duties of a materially lesser status or degree of responsibility than your position, responsibilities, authority level, or duties immediately prior to your Change of Control, and (iii) (your transfer to a work site more than twenty-five mile distant from your work site immediately prior to the Change of Control, in each case without your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u w:val="single"/>
              </w:rPr>
              <w:t>Person</w:t>
            </w:r>
            <w:r>
              <w:rPr>
                <w:rFonts w:ascii="Times New Roman;Times;serif" w:hAnsi="Times New Roman;Times;serif"/>
                <w:caps w:val="false"/>
                <w:smallCaps w:val="false"/>
                <w:sz w:val="20"/>
              </w:rPr>
              <w:t>” means an individual, a corporation, an association, a partnership, an estate, a trust or other entity or organization (including a “group” as defined in Section l3(d)(3) or 14(d)(2) of the Securities Exchange Act of 1934, as amended), other than the Company or any of its subsidiaries or affiliates.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7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Assignment</w:t>
            </w:r>
            <w:r>
              <w:rPr>
                <w:rFonts w:ascii="Times New Roman;Times;serif" w:hAnsi="Times New Roman;Times;serif"/>
                <w:caps w:val="false"/>
                <w:smallCaps w:val="false"/>
                <w:sz w:val="20"/>
              </w:rPr>
              <w:t>. Neither the Company nor you may make any assignment of this Agreement or any interest herein, by operation of law or otherwise, without the prior written consent of the other; provided, however, that the Company may assign its rights and obligations under this Agreement without your consent in the event that the Company shall hereafter effect a reorganization, or consolidate with, or merge into any Person or transfer all or substantially all of its property or assets to any Person, but only to such Person. This Agreement shall inure to the benefit of and be binding upon the Company, its successors (including without limitation any transferee of all or substantially all of its property or assets) and permitted assigns.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any merger, consolidation or sale of assets as described above, references to the Company in this Agreement shall, unless the context suggests otherwise, be deemed to mean the entity resulting from such merger or consolidation or the acquirer of such assets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Notices</w:t>
            </w:r>
            <w:r>
              <w:rPr>
                <w:rFonts w:ascii="Times New Roman;Times;serif" w:hAnsi="Times New Roman;Times;serif"/>
                <w:caps w:val="false"/>
                <w:smallCaps w:val="false"/>
                <w:sz w:val="20"/>
              </w:rPr>
              <w:t>. Any and all notices, requests, demands, acceptances, appointments and other communications provided for by this Agreement shall be in writing and shall be effective when actually delivered in person, sent by telecopy or similar teletransmission with confirmation of transmission or, if mailed, five (5) days after having been deposited in the United States mail, postage prepaid, registered or certified, and addressed to you at your last known address on the books of the Company or, in the case of the Company, addressed to its principal place of business, attention of Chief Executive Officer, or to such other address as either party may specify by notice to the other actually received.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At-Will Employment</w:t>
            </w:r>
            <w:r>
              <w:rPr>
                <w:rFonts w:ascii="Times New Roman;Times;serif" w:hAnsi="Times New Roman;Times;serif"/>
                <w:caps w:val="false"/>
                <w:smallCaps w:val="false"/>
                <w:sz w:val="20"/>
              </w:rPr>
              <w:t>. By signing this Agreement, you acknowledge and agree that nothing in this Agreement shall be construed as creating any obligation by the Company or any subsidiary or affiliate thereof to employ you for a specified term or to continue you employment. Unless otherwise specifically set forth in another written agreement between you and the Company, your employment with the Company, is solely on an “at-will” basis, and therefore your employment may be terminated by the Company at any time and for any reason.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Compliance with Employee Obligation Agreement</w:t>
            </w:r>
            <w:r>
              <w:rPr>
                <w:rFonts w:ascii="Times New Roman;Times;serif" w:hAnsi="Times New Roman;Times;serif"/>
                <w:caps w:val="false"/>
                <w:smallCaps w:val="false"/>
                <w:sz w:val="20"/>
              </w:rPr>
              <w:t>. By signing this Agreement, you agree and acknowledge that the Employee Obligation Agreement, executed in 2023 or before as applicable, that you previously entered into with the Company (the “</w:t>
            </w:r>
            <w:r>
              <w:rPr>
                <w:rFonts w:ascii="Times New Roman;Times;serif" w:hAnsi="Times New Roman;Times;serif"/>
                <w:caps w:val="false"/>
                <w:smallCaps w:val="false"/>
                <w:sz w:val="20"/>
                <w:u w:val="single"/>
              </w:rPr>
              <w:t>Employee Obligation Agreement</w:t>
            </w:r>
            <w:r>
              <w:rPr>
                <w:rFonts w:ascii="Times New Roman;Times;serif" w:hAnsi="Times New Roman;Times;serif"/>
                <w:caps w:val="false"/>
                <w:smallCaps w:val="false"/>
                <w:sz w:val="20"/>
              </w:rPr>
              <w:t>”) shall at all times remain in full force and effect in accordance with the terms thereof, and nothing set forth in this Agreement shall modify, waive, or alter any provision of such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Acceleration of Option Vesting</w:t>
            </w:r>
            <w:r>
              <w:rPr>
                <w:rFonts w:ascii="Times New Roman;Times;serif" w:hAnsi="Times New Roman;Times;serif"/>
                <w:caps w:val="false"/>
                <w:smallCaps w:val="false"/>
                <w:sz w:val="20"/>
              </w:rPr>
              <w:t>. Immediately upon a Change in Control and notwithstanding anything in any Option Award Agreement to the contrary, all stock options subject to any Option Award Agreement shall, to the extent not then already vested and excluding any options that have on such date already expired or been terminated, automatically and immediately vest upon the Change of Control and shall thereafter be exercisable in accordance with the terms and provisions of the applicable Option Award Agreement. The term “</w:t>
            </w:r>
            <w:r>
              <w:rPr>
                <w:rFonts w:ascii="Times New Roman;Times;serif" w:hAnsi="Times New Roman;Times;serif"/>
                <w:caps w:val="false"/>
                <w:smallCaps w:val="false"/>
                <w:sz w:val="20"/>
                <w:u w:val="single"/>
              </w:rPr>
              <w:t>Option Award Agreement</w:t>
            </w:r>
            <w:r>
              <w:rPr>
                <w:rFonts w:ascii="Times New Roman;Times;serif" w:hAnsi="Times New Roman;Times;serif"/>
                <w:caps w:val="false"/>
                <w:smallCaps w:val="false"/>
                <w:sz w:val="20"/>
              </w:rPr>
              <w:t>” means any agreement in effect prior to the date of this Agreement whereunder you have been granted options to purchase shares of common stock of the Company, and the provisions set forth in the preceding sentence shall constitute an amendment to each Option Award Agreement held by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Termination in Connection With a Change in Control</w:t>
            </w:r>
            <w:r>
              <w:rPr>
                <w:rFonts w:ascii="Times New Roman;Times;serif" w:hAnsi="Times New Roman;Times;serif"/>
                <w:caps w:val="false"/>
                <w:smallCaps w:val="false"/>
                <w:sz w:val="20"/>
              </w:rPr>
              <w:t>.  (i) In the event that a Change in Control (as defined below) occurs and Employee terminates his own employment with the Company by delivering written notice of termination to the Company within thirty (30) days after such Change in Control (an “Employee Termination Notice”), then Employee shall be entitled to lump-sum severance compensation in an amount equal to one year of Employee’s then-current base salary (the “Change in Control Compensation”). The Change in Control Compensation shall be payable on the last pay day of the month in which the Change in Control occurs, but no earlier than fifteen (15) days after Employee delivers the Employee Termination Notice to the Company.  In addition to the Change in Control Compensation, the Employee shall, to the extent permitted by any applicable benefit plan, continue to receive, from the date of termination through the first anniversary of such date of termination, all employee health and welfare benefits that Employee would have received during such period in the absence of such termination. Employee agrees and acknowledges, however, that Employee will forfeit the right to receive Change in Control Compensation and benefits during such period immediately upon the Employee’s breach of any covenant set forth in Section 6 of this Agreement.  In addition, all unvested shares subject to any equity award shall immediately vest upon the effective date of termination of Employee’s employment as set forth in the Employee Termination Notice.  In addition, the period of time during which Employee shall be entitled to exercise any equity award that is an option shall be extended to the earlier of (a) the second anniversary of such effective date of termination or (b) the date on which such option would otherwise expire and terminate in accordance with the terms of such option (without giving effect to any expiration or termination that is based upon the date of any termination of employment). In addition,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100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Compliance with 409A</w:t>
            </w:r>
            <w:r>
              <w:rPr>
                <w:rFonts w:ascii="Times New Roman;Times;serif" w:hAnsi="Times New Roman;Times;serif"/>
                <w:caps w:val="false"/>
                <w:smallCaps w:val="false"/>
                <w:sz w:val="20"/>
              </w:rPr>
              <w:t>. This Agreement is intended to conform in all respects to the requirements under Section 409A of the Internal Revenue Code of 1986, as amended (“</w:t>
            </w:r>
            <w:r>
              <w:rPr>
                <w:rFonts w:ascii="Times New Roman;Times;serif" w:hAnsi="Times New Roman;Times;serif"/>
                <w:caps w:val="false"/>
                <w:smallCaps w:val="false"/>
                <w:sz w:val="20"/>
                <w:u w:val="single"/>
              </w:rPr>
              <w:t>Section 409A</w:t>
            </w:r>
            <w:r>
              <w:rPr>
                <w:rFonts w:ascii="Times New Roman;Times;serif" w:hAnsi="Times New Roman;Times;serif"/>
                <w:caps w:val="false"/>
                <w:smallCaps w:val="false"/>
                <w:sz w:val="20"/>
              </w:rPr>
              <w:t>”). Accordingly, this Agreement shall be interpreted, construed, administered and applied in a manner as shall meet and comply with the requirements of Section 409A, and the Board may amend this Agreement in its discretion and without your consent to the minimum extent necessary so as to comply with any such requirement. Any reference in this Agreement to Section 409A, or any subsection thereof, shall be deemed to mean and include, to the extent then applicable and then in force and effect (but not to the extent overruled, limited or superseded), published rulings, notices and similar announcements issued by the Internal Revenue Service under or interpreting Section 409A and regulations (proposed, temporary or final) issued by the United States Secretary of the Treasury under or interpreting Section 409A.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Miscellaneous</w:t>
            </w:r>
            <w:r>
              <w:rPr>
                <w:rFonts w:ascii="Times New Roman;Times;serif" w:hAnsi="Times New Roman;Times;serif"/>
                <w:caps w:val="false"/>
                <w:smallCaps w:val="false"/>
                <w:sz w:val="20"/>
              </w:rPr>
              <w:t>. The headings and captions in this Agreement are for convenience of reference only and in no way define or describe the scope of content of any provision of this Agreement. This Agreement contains the entire agreement of the parties and supersedes all prior agreements and understandings, written or oral, with respect to the subject matter hereof. This Agreement may not be modified, waived or discharged unless such modification, waiver or discharge is agreed to in a writing signed by you and such officer as may be specifically designated by the Board. The validity, interpretation, construction and performance of this Agreement shall be governed by the domestic substantive laws of the State of California without giving effect to any choice or conflict of laws provision or rule that would cause the application of the domestic substantive laws of any other jurisdiction. This Agreement may be executed in two or more counterparts, each of which shall be an original and all of which together shall constitute one and the same instrument.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are in agreement with the foregoing, please so indicate by signing and returning to the Company the original of this Agreement, whereupon this Agreement shall constitute a binding agreement between you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second copy is for your records.</w:t>
      </w:r>
    </w:p>
    <w:p>
      <w:pPr>
        <w:pStyle w:val="TextBody"/>
        <w:bidi w:val="0"/>
        <w:spacing w:before="0" w:after="0"/>
        <w:ind w:left="0" w:right="0" w:firstLine="720"/>
        <w:jc w:val="both"/>
        <w:rPr>
          <w:caps w:val="false"/>
          <w:smallCaps w:val="false"/>
        </w:rPr>
      </w:pPr>
      <w:r>
        <w:rPr>
          <w:caps w:val="false"/>
          <w:smallCaps w:val="false"/>
        </w:rPr>
        <w:t> </w:t>
      </w:r>
    </w:p>
    <w:tbl>
      <w:tblPr>
        <w:tblW w:w="3410" w:type="dxa"/>
        <w:jc w:val="left"/>
        <w:tblInd w:w="0" w:type="dxa"/>
        <w:tblLayout w:type="fixed"/>
        <w:tblCellMar>
          <w:top w:w="0" w:type="dxa"/>
          <w:left w:w="0" w:type="dxa"/>
          <w:bottom w:w="0" w:type="dxa"/>
          <w:right w:w="0" w:type="dxa"/>
        </w:tblCellMar>
      </w:tblPr>
      <w:tblGrid>
        <w:gridCol w:w="60"/>
        <w:gridCol w:w="3350"/>
      </w:tblGrid>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LIQUIDMETAL TECHNOLOGIES ,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Vincent Carrubba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ACCEPTED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Signature: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Name: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r>
        <w:rPr>
          <w:rFonts w:ascii="Times New Roman" w:hAnsi="Times New Roman"/>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6</w:t>
      </w:r>
    </w:p>
    <w:p>
      <w:pPr>
        <w:pStyle w:val="TextBody"/>
        <w:bidi w:val="0"/>
        <w:spacing w:before="0" w:after="0"/>
        <w:ind w:left="0" w:right="0" w:hanging="0"/>
        <w:jc w:val="right"/>
        <w:rPr>
          <w:rFonts w:ascii="Times New Roman" w:hAnsi="Times New Roman"/>
          <w:b/>
          <w:caps w:val="false"/>
          <w:smallCaps w:val="false"/>
          <w:sz w:val="20"/>
        </w:rPr>
      </w:pPr>
      <w:bookmarkStart w:id="42" w:name="ex_929945.htm"/>
      <w:bookmarkStart w:id="43" w:name="ksex_929945"/>
      <w:bookmarkEnd w:id="42"/>
      <w:bookmarkEnd w:id="43"/>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Technologies, Inc. has five material direct subsidiaries and one material indirect subsidiary,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Liquidmetal Golf: Liquidmetal Technologies holds 79.19% of the issued and outstanding common stock of Liquidmetal Golf, a California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Crucible Intellectual Property, LLC.:  Liquidmetal Technologies owns 100% of the equity of Crucible Intellectual Property,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Liquidmetal Asia Holdings Limited: Liquidmetal Technologies owns 100% of the equity of Liquidmetal Asia Holdings Limited, a Hong Kong limited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Hangzhou Feifeng Liquidmetal Co., Ltd.: Through Liquidmetal Asia Holdings Limited, Liquidmetal Technologies owns 70% of the equity of Hangzhou Feifeng Liquidmetal Co., Ltd., a Chinese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 Valencia, LLC: Liquidmetal Technologies owns 100% of the equity of Valencia,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 Liquidmorphium, LLC: Liquidmetal Technologies owns 100% of the equity of Liquidmorphium,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4" w:name="ex_929881.htm"/>
      <w:bookmarkStart w:id="45" w:name="ksex_929881"/>
      <w:bookmarkEnd w:id="44"/>
      <w:bookmarkEnd w:id="45"/>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incorporation in this Annual report on Form 10-K of our report dated March 12, 2026, relating to the consolidated financial statements of Liquidmetal Technologies, Inc. as of December 31, 2025 and 2024 and to all references to our firm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 BCRG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Irvine, California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46" w:name="ex_929882.htm"/>
      <w:bookmarkStart w:id="47" w:name="ksex_929882"/>
      <w:bookmarkEnd w:id="46"/>
      <w:bookmarkEnd w:id="47"/>
      <w:r>
        <w:rPr>
          <w:caps w:val="false"/>
          <w:smallCaps w:val="false"/>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Tony Chung,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289" w:type="dxa"/>
        <w:jc w:val="left"/>
        <w:tblInd w:w="0" w:type="dxa"/>
        <w:tblLayout w:type="fixed"/>
        <w:tblCellMar>
          <w:top w:w="0" w:type="dxa"/>
          <w:left w:w="0" w:type="dxa"/>
          <w:bottom w:w="0" w:type="dxa"/>
          <w:right w:w="0" w:type="dxa"/>
        </w:tblCellMar>
      </w:tblPr>
      <w:tblGrid>
        <w:gridCol w:w="1790"/>
        <w:gridCol w:w="3345"/>
        <w:gridCol w:w="154"/>
      </w:tblGrid>
      <w:tr>
        <w:trPr/>
        <w:tc>
          <w:tcPr>
            <w:tcW w:w="17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March 12, 2026</w:t>
            </w:r>
          </w:p>
        </w:tc>
        <w:tc>
          <w:tcPr>
            <w:tcW w:w="3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w:t>
            </w:r>
          </w:p>
        </w:tc>
        <w:tc>
          <w:tcPr>
            <w:tcW w:w="154"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r>
      <w:tr>
        <w:trPr/>
        <w:tc>
          <w:tcPr>
            <w:tcW w:w="179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48" w:name="ex_929883.htm"/>
      <w:bookmarkStart w:id="49" w:name="ksex_929883"/>
      <w:bookmarkEnd w:id="48"/>
      <w:bookmarkEnd w:id="49"/>
      <w:r>
        <w:rPr>
          <w:caps w:val="false"/>
          <w:smallCaps w:val="false"/>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1350, AS ADOPTED PURSUANT TO SECTION 906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Liquidmetal Technologies, Inc. (the “company”) on Form 10-K for the year ending December 31, 2025, as filed with the Securities and Exchange Commission on the date hereof (the “Report”), I, Tony Chung, Chief Executive Officer and Principal Financial Officer of the Company, certify, pursuant to and for purposes of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9" w:type="dxa"/>
        <w:jc w:val="left"/>
        <w:tblInd w:w="0" w:type="dxa"/>
        <w:tblLayout w:type="fixed"/>
        <w:tblCellMar>
          <w:top w:w="0" w:type="dxa"/>
          <w:left w:w="0" w:type="dxa"/>
          <w:bottom w:w="0" w:type="dxa"/>
          <w:right w:w="0" w:type="dxa"/>
        </w:tblCellMar>
      </w:tblPr>
      <w:tblGrid>
        <w:gridCol w:w="1790"/>
        <w:gridCol w:w="320"/>
        <w:gridCol w:w="3345"/>
        <w:gridCol w:w="154"/>
      </w:tblGrid>
      <w:tr>
        <w:trPr/>
        <w:tc>
          <w:tcPr>
            <w:tcW w:w="17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March 12,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w:t>
            </w:r>
          </w:p>
        </w:tc>
        <w:tc>
          <w:tcPr>
            <w:tcW w:w="154"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Liquidmetal Technologies, Inc. and will be retained by Liquidmetal Technologies,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41240/000143774916032517/ex3-1.htm" TargetMode="External"/><Relationship Id="rId3" Type="http://schemas.openxmlformats.org/officeDocument/2006/relationships/hyperlink" Target="http://www.sec.gov/Archives/edgar/data/1141240/000143774915018045/ex3-1.htm" TargetMode="External"/><Relationship Id="rId4" Type="http://schemas.openxmlformats.org/officeDocument/2006/relationships/hyperlink" Target="http://www.sec.gov/Archives/edgar/data/1141240/000143774916032517/ex3-1.htm" TargetMode="External"/><Relationship Id="rId5" Type="http://schemas.openxmlformats.org/officeDocument/2006/relationships/hyperlink" Target="http://www.sec.gov/Archives/edgar/data/1141240/000143774915018045/ex3-1.htm" TargetMode="External"/><Relationship Id="rId6" Type="http://schemas.openxmlformats.org/officeDocument/2006/relationships/hyperlink" Target="http://www.sec.gov/Archives/edgar/data/1141240/000095014403010036/g84479exv4w2.txt" TargetMode="External"/><Relationship Id="rId7" Type="http://schemas.openxmlformats.org/officeDocument/2006/relationships/hyperlink" Target="http://www.sec.gov/Archives/edgar/data/0001141240/000143774921005422/ex_232698.htm" TargetMode="External"/><Relationship Id="rId8" Type="http://schemas.openxmlformats.org/officeDocument/2006/relationships/hyperlink" Target="http://www.sec.gov/Archives/edgar/data/1141240/000095014401509465/g71403ex10-1.txt" TargetMode="External"/><Relationship Id="rId9" Type="http://schemas.openxmlformats.org/officeDocument/2006/relationships/hyperlink" Target="http://www.sec.gov/Archives/edgar/data/1141240/000114420410057652/v199432_ex10-3.htm" TargetMode="External"/><Relationship Id="rId10" Type="http://schemas.openxmlformats.org/officeDocument/2006/relationships/hyperlink" Target="http://www.sec.gov/Archives/edgar/data/1141240/000114036112031747/ex10_1.htm" TargetMode="External"/><Relationship Id="rId11" Type="http://schemas.openxmlformats.org/officeDocument/2006/relationships/hyperlink" Target="http://www.sec.gov/Archives/edgar/data/1141240/000114036112034926/ex10_41.htm" TargetMode="External"/><Relationship Id="rId12" Type="http://schemas.openxmlformats.org/officeDocument/2006/relationships/hyperlink" Target="http://www.sec.gov/Archives/edgar/data/1141240/000114036112034926/ex10_41.htm" TargetMode="External"/><Relationship Id="rId13" Type="http://schemas.openxmlformats.org/officeDocument/2006/relationships/hyperlink" Target="http://www.sec.gov/Archives/edgar/data/1141240/000114036112034926/ex10_41.htm" TargetMode="External"/><Relationship Id="rId14" Type="http://schemas.openxmlformats.org/officeDocument/2006/relationships/hyperlink" Target="http://www.sec.gov/Archives/edgar/data/1141240/000143774914015118/ex10-1.htm" TargetMode="External"/><Relationship Id="rId15" Type="http://schemas.openxmlformats.org/officeDocument/2006/relationships/hyperlink" Target="http://www.sec.gov/Archives/edgar/data/1141240/000143774914015118/ex10-1.htm" TargetMode="External"/><Relationship Id="rId16" Type="http://schemas.openxmlformats.org/officeDocument/2006/relationships/hyperlink" Target="http://www.sec.gov/Archives/edgar/data/1141240/000143774914015118/ex10-1.htm" TargetMode="External"/><Relationship Id="rId17" Type="http://schemas.openxmlformats.org/officeDocument/2006/relationships/hyperlink" Target="http://www.sec.gov/Archives/edgar/data/1141240/000143774915002140/ex10-1.htm" TargetMode="External"/><Relationship Id="rId18" Type="http://schemas.openxmlformats.org/officeDocument/2006/relationships/hyperlink" Target="http://www.sec.gov/Archives/edgar/data/1141240/000143774915015062/ex10-1.htm" TargetMode="External"/><Relationship Id="rId19" Type="http://schemas.openxmlformats.org/officeDocument/2006/relationships/hyperlink" Target="http://www.sec.gov/Archives/edgar/data/1141240/000143774915018045/ex10-1.htm" TargetMode="External"/><Relationship Id="rId20" Type="http://schemas.openxmlformats.org/officeDocument/2006/relationships/hyperlink" Target="http://www.sec.gov/Archives/edgar/data/1141240/000143774915018045/ex10-2.htm" TargetMode="External"/><Relationship Id="rId21" Type="http://schemas.openxmlformats.org/officeDocument/2006/relationships/hyperlink" Target="http://www.sec.gov/Archives/edgar/data/1141240/000143774916027548/ex4-1.htm" TargetMode="External"/><Relationship Id="rId22" Type="http://schemas.openxmlformats.org/officeDocument/2006/relationships/hyperlink" Target="http://www.sec.gov/Archives/edgar/data/1141240/000143774916027548/ex10-2.htm" TargetMode="External"/><Relationship Id="rId23" Type="http://schemas.openxmlformats.org/officeDocument/2006/relationships/hyperlink" Target="http://www.sec.gov/Archives/edgar/data/0001141240/000143774925022526/ex_837560.htm" TargetMode="External"/><Relationship Id="rId24" Type="http://schemas.openxmlformats.org/officeDocument/2006/relationships/hyperlink" Target="http://www.sec.gov/Archives/edgar/data/0001141240/000143774925022526/ex_837560.htm" TargetMode="External"/><Relationship Id="rId25" Type="http://schemas.openxmlformats.org/officeDocument/2006/relationships/hyperlink" Target="http://www.sec.gov/Archives/edgar/data/1141240/000143774922001228/ex_325604.htm" TargetMode="External"/><Relationship Id="rId26" Type="http://schemas.openxmlformats.org/officeDocument/2006/relationships/hyperlink" Target="http://www.sec.gov/Archives/edgar/data/1141240/000143774922001228/ex_325605.htm" TargetMode="External"/><Relationship Id="rId27" Type="http://schemas.openxmlformats.org/officeDocument/2006/relationships/hyperlink" Target="http://www.sec.gov/Archives/edgar/data/0001141240/000143774925016434/ex_809387.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40563</Words>
  <Characters>223715</Characters>
  <CharactersWithSpaces>267091</CharactersWithSpaces>
  <Paragraphs>8386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