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4229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22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Chung Tony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 xml:space="preserve">LIQUIDMETAL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  <w:w w:val="99"/>
              </w:rPr>
              <w:t>[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LQMT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20321 VALENCIA CIRCLE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03/12/2025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LAKE FOREST  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92630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03/12/2025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03/12/2035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3,000,000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03/12/2034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4,000,000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-1797050</wp:posOffset>
            </wp:positionV>
            <wp:extent cx="2857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360" w:hanging="3"/>
        <w:spacing w:after="0" w:line="28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covered by the Option shall vest 33.33% on the first year anniversary date from the date of grant. Thereafter, the shares covered by the Option shall vest monthly over 24 months with the Option being 100% vested on the third anniversary of the date of grant.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Tony Chung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03/14/2025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5945" TargetMode="External"/><Relationship Id="rId14" Type="http://schemas.openxmlformats.org/officeDocument/2006/relationships/hyperlink" Target="http://www.sec.gov/cgi-bin/browse-edgar?action=getcompany&amp;CIK=0001141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2025-03-14T17:13:01Z</dcterms:created>
  <dcterms:modified xsi:type="dcterms:W3CDTF">2025-03-14T17:13:01Z</dcterms:modified>
</cp:coreProperties>
</file>