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tbl>
      <w:tblPr>
        <w:tblLayout w:type="fixed"/>
        <w:tblInd w:w="10" w:type="dxa"/>
        <w:tblCellMar>
          <w:top w:w="0" w:type="dxa"/>
          <w:left w:w="0" w:type="dxa"/>
          <w:bottom w:w="0" w:type="dxa"/>
          <w:right w:w="0" w:type="dxa"/>
        </w:tblCellMar>
      </w:tblPr>
      <w:tr>
        <w:trPr>
          <w:trHeight w:val="389"/>
        </w:trPr>
        <w:tc>
          <w:tcPr>
            <w:tcW w:w="1160" w:type="dxa"/>
            <w:vAlign w:val="bottom"/>
          </w:tcPr>
          <w:p>
            <w:pPr>
              <w:spacing w:after="0"/>
              <w:rPr>
                <w:sz w:val="24"/>
                <w:szCs w:val="24"/>
                <w:color w:val="auto"/>
              </w:rPr>
            </w:pPr>
          </w:p>
        </w:tc>
        <w:tc>
          <w:tcPr>
            <w:tcW w:w="10080" w:type="dxa"/>
            <w:vAlign w:val="bottom"/>
            <w:gridSpan w:val="2"/>
          </w:tcPr>
          <w:p>
            <w:pPr>
              <w:jc w:val="center"/>
              <w:ind w:right="1052"/>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tc>
      </w:tr>
      <w:tr>
        <w:trPr>
          <w:trHeight w:val="238"/>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480" w:type="dxa"/>
            <w:vAlign w:val="bottom"/>
          </w:tcPr>
          <w:p>
            <w:pPr>
              <w:jc w:val="center"/>
              <w:ind w:right="3672"/>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598"/>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480" w:type="dxa"/>
            <w:vAlign w:val="bottom"/>
          </w:tcPr>
          <w:p>
            <w:pPr>
              <w:jc w:val="center"/>
              <w:ind w:right="3672"/>
              <w:spacing w:after="0"/>
              <w:rPr>
                <w:sz w:val="20"/>
                <w:szCs w:val="20"/>
                <w:color w:val="auto"/>
              </w:rPr>
            </w:pPr>
            <w:r>
              <w:rPr>
                <w:rFonts w:ascii="Times New Roman" w:cs="Times New Roman" w:eastAsia="Times New Roman" w:hAnsi="Times New Roman"/>
                <w:sz w:val="32"/>
                <w:szCs w:val="32"/>
                <w:b w:val="1"/>
                <w:bCs w:val="1"/>
                <w:color w:val="auto"/>
              </w:rPr>
              <w:t>FORM 10-Q</w:t>
            </w:r>
          </w:p>
        </w:tc>
      </w:tr>
      <w:tr>
        <w:trPr>
          <w:trHeight w:val="236"/>
        </w:trPr>
        <w:tc>
          <w:tcPr>
            <w:tcW w:w="1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7480" w:type="dxa"/>
            <w:vAlign w:val="bottom"/>
            <w:tcBorders>
              <w:bottom w:val="single" w:sz="8" w:color="auto"/>
            </w:tcBorders>
          </w:tcPr>
          <w:p>
            <w:pPr>
              <w:spacing w:after="0"/>
              <w:rPr>
                <w:sz w:val="20"/>
                <w:szCs w:val="20"/>
                <w:color w:val="auto"/>
              </w:rPr>
            </w:pPr>
          </w:p>
        </w:tc>
      </w:tr>
      <w:tr>
        <w:trPr>
          <w:trHeight w:val="150"/>
        </w:trPr>
        <w:tc>
          <w:tcPr>
            <w:tcW w:w="1160" w:type="dxa"/>
            <w:vAlign w:val="bottom"/>
            <w:tcBorders>
              <w:left w:val="single" w:sz="8" w:color="auto"/>
            </w:tcBorders>
          </w:tcPr>
          <w:p>
            <w:pPr>
              <w:ind w:left="20"/>
              <w:spacing w:after="0" w:line="15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13"/>
                <w:szCs w:val="13"/>
                <w:color w:val="auto"/>
              </w:rPr>
            </w:pPr>
          </w:p>
        </w:tc>
        <w:tc>
          <w:tcPr>
            <w:tcW w:w="74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w:t>
            </w:r>
          </w:p>
        </w:tc>
      </w:tr>
      <w:tr>
        <w:trPr>
          <w:trHeight w:val="255"/>
        </w:trPr>
        <w:tc>
          <w:tcPr>
            <w:tcW w:w="1160" w:type="dxa"/>
            <w:vAlign w:val="bottom"/>
            <w:tcBorders>
              <w:left w:val="single" w:sz="8" w:color="auto"/>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7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EXCHANGE ACT OF 1934</w:t>
            </w:r>
          </w:p>
        </w:tc>
      </w:tr>
      <w:tr>
        <w:trPr>
          <w:trHeight w:val="409"/>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480" w:type="dxa"/>
            <w:vAlign w:val="bottom"/>
          </w:tcPr>
          <w:p>
            <w:pPr>
              <w:jc w:val="center"/>
              <w:ind w:right="3652"/>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2026</w:t>
            </w:r>
          </w:p>
        </w:tc>
      </w:tr>
      <w:tr>
        <w:trPr>
          <w:trHeight w:val="432"/>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480" w:type="dxa"/>
            <w:vAlign w:val="bottom"/>
          </w:tcPr>
          <w:p>
            <w:pPr>
              <w:jc w:val="center"/>
              <w:ind w:right="3672"/>
              <w:spacing w:after="0"/>
              <w:rPr>
                <w:sz w:val="20"/>
                <w:szCs w:val="20"/>
                <w:color w:val="auto"/>
              </w:rPr>
            </w:pPr>
            <w:r>
              <w:rPr>
                <w:rFonts w:ascii="Times New Roman" w:cs="Times New Roman" w:eastAsia="Times New Roman" w:hAnsi="Times New Roman"/>
                <w:sz w:val="18"/>
                <w:szCs w:val="18"/>
                <w:b w:val="1"/>
                <w:bCs w:val="1"/>
                <w:color w:val="auto"/>
              </w:rPr>
              <w:t>OR</w:t>
            </w:r>
          </w:p>
        </w:tc>
      </w:tr>
      <w:tr>
        <w:trPr>
          <w:trHeight w:val="253"/>
        </w:trPr>
        <w:tc>
          <w:tcPr>
            <w:tcW w:w="1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7480" w:type="dxa"/>
            <w:vAlign w:val="bottom"/>
            <w:tcBorders>
              <w:bottom w:val="single" w:sz="8" w:color="auto"/>
            </w:tcBorders>
          </w:tcPr>
          <w:p>
            <w:pPr>
              <w:spacing w:after="0"/>
              <w:rPr>
                <w:sz w:val="21"/>
                <w:szCs w:val="21"/>
                <w:color w:val="auto"/>
              </w:rPr>
            </w:pPr>
          </w:p>
        </w:tc>
      </w:tr>
      <w:tr>
        <w:trPr>
          <w:trHeight w:val="150"/>
        </w:trPr>
        <w:tc>
          <w:tcPr>
            <w:tcW w:w="1160" w:type="dxa"/>
            <w:vAlign w:val="bottom"/>
            <w:tcBorders>
              <w:left w:val="single" w:sz="8" w:color="auto"/>
            </w:tcBorders>
          </w:tcPr>
          <w:p>
            <w:pPr>
              <w:ind w:left="20"/>
              <w:spacing w:after="0" w:line="15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13"/>
                <w:szCs w:val="13"/>
                <w:color w:val="auto"/>
              </w:rPr>
            </w:pPr>
          </w:p>
        </w:tc>
        <w:tc>
          <w:tcPr>
            <w:tcW w:w="748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w:t>
            </w:r>
          </w:p>
        </w:tc>
      </w:tr>
      <w:tr>
        <w:trPr>
          <w:trHeight w:val="255"/>
        </w:trPr>
        <w:tc>
          <w:tcPr>
            <w:tcW w:w="1160" w:type="dxa"/>
            <w:vAlign w:val="bottom"/>
            <w:tcBorders>
              <w:left w:val="single" w:sz="8" w:color="auto"/>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7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EXCHANGE ACT OF 1934</w:t>
            </w:r>
          </w:p>
        </w:tc>
      </w:tr>
      <w:tr>
        <w:trPr>
          <w:trHeight w:val="409"/>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480" w:type="dxa"/>
            <w:vAlign w:val="bottom"/>
          </w:tcPr>
          <w:p>
            <w:pPr>
              <w:jc w:val="center"/>
              <w:ind w:right="3672"/>
              <w:spacing w:after="0"/>
              <w:rPr>
                <w:sz w:val="20"/>
                <w:szCs w:val="20"/>
                <w:color w:val="auto"/>
              </w:rPr>
            </w:pPr>
            <w:r>
              <w:rPr>
                <w:rFonts w:ascii="Times New Roman" w:cs="Times New Roman" w:eastAsia="Times New Roman" w:hAnsi="Times New Roman"/>
                <w:sz w:val="18"/>
                <w:szCs w:val="18"/>
                <w:b w:val="1"/>
                <w:bCs w:val="1"/>
                <w:color w:val="auto"/>
                <w:w w:val="93"/>
              </w:rPr>
              <w:t>For the transition period fromto</w:t>
            </w:r>
          </w:p>
        </w:tc>
      </w:tr>
      <w:tr>
        <w:trPr>
          <w:trHeight w:val="432"/>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480" w:type="dxa"/>
            <w:vAlign w:val="bottom"/>
          </w:tcPr>
          <w:p>
            <w:pPr>
              <w:jc w:val="center"/>
              <w:ind w:right="3652"/>
              <w:spacing w:after="0"/>
              <w:rPr>
                <w:sz w:val="20"/>
                <w:szCs w:val="20"/>
                <w:color w:val="auto"/>
              </w:rPr>
            </w:pPr>
            <w:r>
              <w:rPr>
                <w:rFonts w:ascii="Times New Roman" w:cs="Times New Roman" w:eastAsia="Times New Roman" w:hAnsi="Times New Roman"/>
                <w:sz w:val="18"/>
                <w:szCs w:val="18"/>
                <w:b w:val="1"/>
                <w:bCs w:val="1"/>
                <w:color w:val="auto"/>
              </w:rPr>
              <w:t>Commission File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001-31332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308610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LIQUIDMETAL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Exact name of Registrant as specified in its charter</w:t>
      </w:r>
      <w:r>
        <w:rPr>
          <w:rFonts w:ascii="Times New Roman" w:cs="Times New Roman" w:eastAsia="Times New Roman" w:hAnsi="Times New Roman"/>
          <w:sz w:val="18"/>
          <w:szCs w:val="18"/>
          <w:b w:val="1"/>
          <w:bCs w:val="1"/>
          <w:color w:val="auto"/>
        </w:rPr>
        <w:t>)</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5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20" w:type="dxa"/>
            <w:vAlign w:val="bottom"/>
            <w:tcBorders>
              <w:top w:val="single" w:sz="8" w:color="auto"/>
              <w:bottom w:val="single" w:sz="8" w:color="auto"/>
            </w:tcBorders>
          </w:tcPr>
          <w:p>
            <w:pPr>
              <w:spacing w:after="0"/>
              <w:rPr>
                <w:sz w:val="21"/>
                <w:szCs w:val="21"/>
                <w:color w:val="auto"/>
              </w:rPr>
            </w:pPr>
          </w:p>
        </w:tc>
        <w:tc>
          <w:tcPr>
            <w:tcW w:w="3660" w:type="dxa"/>
            <w:vAlign w:val="bottom"/>
            <w:tcBorders>
              <w:top w:val="single" w:sz="8" w:color="auto"/>
              <w:bottom w:val="single" w:sz="8" w:color="auto"/>
              <w:right w:val="single" w:sz="8" w:color="auto"/>
            </w:tcBorders>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33-0264467</w:t>
            </w:r>
          </w:p>
        </w:tc>
      </w:tr>
      <w:tr>
        <w:trPr>
          <w:trHeight w:val="193"/>
        </w:trPr>
        <w:tc>
          <w:tcPr>
            <w:tcW w:w="56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920" w:type="dxa"/>
            <w:vAlign w:val="bottom"/>
            <w:tcBorders>
              <w:bottom w:val="single" w:sz="8" w:color="auto"/>
            </w:tcBorders>
          </w:tcPr>
          <w:p>
            <w:pPr>
              <w:spacing w:after="0"/>
              <w:rPr>
                <w:sz w:val="16"/>
                <w:szCs w:val="16"/>
                <w:color w:val="auto"/>
              </w:rPr>
            </w:pPr>
          </w:p>
        </w:tc>
        <w:tc>
          <w:tcPr>
            <w:tcW w:w="3660" w:type="dxa"/>
            <w:vAlign w:val="bottom"/>
            <w:tcBorders>
              <w:bottom w:val="single" w:sz="8" w:color="auto"/>
              <w:right w:val="single" w:sz="8" w:color="auto"/>
            </w:tcBorders>
          </w:tcPr>
          <w:p>
            <w:pPr>
              <w:jc w:val="center"/>
              <w:ind w:right="1870"/>
              <w:spacing w:after="0" w:line="193"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10"/>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920" w:type="dxa"/>
            <w:vAlign w:val="bottom"/>
            <w:tcBorders>
              <w:bottom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jc w:val="center"/>
              <w:ind w:right="18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3"/>
        </w:trPr>
        <w:tc>
          <w:tcPr>
            <w:tcW w:w="758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8"/>
              </w:rPr>
              <w:t>20321 Valencia Circle</w:t>
            </w:r>
          </w:p>
        </w:tc>
        <w:tc>
          <w:tcPr>
            <w:tcW w:w="3660" w:type="dxa"/>
            <w:vAlign w:val="bottom"/>
          </w:tcPr>
          <w:p>
            <w:pPr>
              <w:spacing w:after="0"/>
              <w:rPr>
                <w:sz w:val="24"/>
                <w:szCs w:val="24"/>
                <w:color w:val="auto"/>
              </w:rPr>
            </w:pPr>
          </w:p>
        </w:tc>
      </w:tr>
      <w:tr>
        <w:trPr>
          <w:trHeight w:val="220"/>
        </w:trPr>
        <w:tc>
          <w:tcPr>
            <w:tcW w:w="758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Lake Forest, CA 92630</w:t>
            </w:r>
          </w:p>
        </w:tc>
        <w:tc>
          <w:tcPr>
            <w:tcW w:w="3660" w:type="dxa"/>
            <w:vAlign w:val="bottom"/>
          </w:tcPr>
          <w:p>
            <w:pPr>
              <w:spacing w:after="0"/>
              <w:rPr>
                <w:sz w:val="19"/>
                <w:szCs w:val="19"/>
                <w:color w:val="auto"/>
              </w:rPr>
            </w:pPr>
          </w:p>
        </w:tc>
      </w:tr>
      <w:tr>
        <w:trPr>
          <w:trHeight w:val="234"/>
        </w:trPr>
        <w:tc>
          <w:tcPr>
            <w:tcW w:w="758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635-2100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700" w:type="dxa"/>
            <w:vAlign w:val="bottom"/>
            <w:tcBorders>
              <w:top w:val="single" w:sz="8" w:color="auto"/>
              <w:bottom w:val="single" w:sz="8" w:color="auto"/>
              <w:right w:val="single" w:sz="8" w:color="auto"/>
            </w:tcBorders>
          </w:tcPr>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3740" w:type="dxa"/>
            <w:vAlign w:val="bottom"/>
            <w:tcBorders>
              <w:top w:val="single" w:sz="8" w:color="auto"/>
              <w:bottom w:val="single" w:sz="8" w:color="auto"/>
              <w:right w:val="single" w:sz="8" w:color="auto"/>
            </w:tcBorders>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r>
      <w:tr>
        <w:trPr>
          <w:trHeight w:val="213"/>
        </w:trPr>
        <w:tc>
          <w:tcPr>
            <w:tcW w:w="38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209"/>
        </w:trPr>
        <w:tc>
          <w:tcPr>
            <w:tcW w:w="3800" w:type="dxa"/>
            <w:vAlign w:val="bottom"/>
            <w:tcBorders>
              <w:bottom w:val="single" w:sz="8" w:color="auto"/>
              <w:righ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3700" w:type="dxa"/>
            <w:vAlign w:val="bottom"/>
            <w:tcBorders>
              <w:bottom w:val="single" w:sz="8" w:color="auto"/>
            </w:tcBorders>
          </w:tcPr>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common shares outstanding as of May 8, 2026 was 917,285,149.</w:t>
      </w:r>
    </w:p>
    <w:p>
      <w:pPr>
        <w:sectPr>
          <w:pgSz w:w="11900" w:h="16838" w:orient="portrait"/>
          <w:cols w:equalWidth="0" w:num="1">
            <w:col w:w="11240"/>
          </w:cols>
          <w:pgMar w:left="320" w:top="472"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of Liquidmetal Technologies, Inc. contains “forward-looking statements” that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“anticipates,” “plans,” “seeks,” and similar words or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our Annual Report on Form 10-K for the year ended December 31, 2025 entitled “Risk Factors,” as well as the following risks and uncertainties:</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3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history of operating losses and the uncertainty surrounding our ability to achieve or sustain profitability;</w:t>
            </w:r>
          </w:p>
        </w:tc>
      </w:tr>
      <w:tr>
        <w:trPr>
          <w:trHeight w:val="193"/>
        </w:trPr>
        <w:tc>
          <w:tcPr>
            <w:tcW w:w="23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Our limited history of developing and selling products made from our bulk amorphous alloys;</w:t>
            </w:r>
          </w:p>
        </w:tc>
      </w:tr>
      <w:tr>
        <w:trPr>
          <w:trHeight w:val="210"/>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Challenges associated with having products manufactured from our alloys and the use of third parties for manufacturing;</w:t>
            </w:r>
          </w:p>
        </w:tc>
      </w:tr>
      <w:tr>
        <w:trPr>
          <w:trHeight w:val="209"/>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limited history of licensing our technology to third parties;</w:t>
            </w:r>
          </w:p>
        </w:tc>
      </w:tr>
      <w:tr>
        <w:trPr>
          <w:trHeight w:val="209"/>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Lengthy customer adoption cycles and unpredictable customer adoption practices;</w:t>
            </w:r>
          </w:p>
        </w:tc>
      </w:tr>
      <w:tr>
        <w:trPr>
          <w:trHeight w:val="210"/>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ability to identify, develop, and commercialize new product applications for our technology;</w:t>
            </w:r>
          </w:p>
        </w:tc>
      </w:tr>
      <w:tr>
        <w:trPr>
          <w:trHeight w:val="209"/>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Competition from current suppliers of incumbent materials or producers of competing products;</w:t>
            </w:r>
          </w:p>
        </w:tc>
      </w:tr>
      <w:tr>
        <w:trPr>
          <w:trHeight w:val="209"/>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Our ability to identify, consummate, and/or integrate strategic partnerships;</w:t>
            </w:r>
          </w:p>
        </w:tc>
      </w:tr>
      <w:tr>
        <w:trPr>
          <w:trHeight w:val="210"/>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potential for manufacturing problems or delays;</w:t>
            </w:r>
          </w:p>
        </w:tc>
      </w:tr>
      <w:tr>
        <w:trPr>
          <w:trHeight w:val="209"/>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Potential difficulties associated with protecting or expanding our intellectual property position; and</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undertake no obligation, other than as required by applicable law, to update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 xml:space="preserve">PART I </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 xml:space="preserve"> Financial Information</w:t>
            </w:r>
          </w:p>
        </w:tc>
        <w:tc>
          <w:tcPr>
            <w:tcW w:w="3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21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Item 1 – Financial Statements</w:t>
            </w:r>
          </w:p>
        </w:tc>
        <w:tc>
          <w:tcPr>
            <w:tcW w:w="4960" w:type="dxa"/>
            <w:vAlign w:val="bottom"/>
            <w:gridSpan w:val="12"/>
            <w:shd w:val="clear" w:color="auto" w:fill="CCEEFF"/>
          </w:tcPr>
          <w:p>
            <w:pPr>
              <w:spacing w:after="0"/>
              <w:rPr>
                <w:sz w:val="15"/>
                <w:szCs w:val="15"/>
                <w:color w:val="auto"/>
              </w:rPr>
            </w:pPr>
          </w:p>
        </w:tc>
        <w:tc>
          <w:tcPr>
            <w:tcW w:w="3880" w:type="dxa"/>
            <w:vAlign w:val="bottom"/>
            <w:gridSpan w:val="4"/>
            <w:shd w:val="clear" w:color="auto" w:fill="CCEEFF"/>
          </w:tcPr>
          <w:p>
            <w:pPr>
              <w:jc w:val="center"/>
              <w:ind w:left="36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Balance Sheets</w:t>
            </w:r>
          </w:p>
        </w:tc>
        <w:tc>
          <w:tcPr>
            <w:tcW w:w="3880" w:type="dxa"/>
            <w:vAlign w:val="bottom"/>
            <w:gridSpan w:val="4"/>
          </w:tcPr>
          <w:p>
            <w:pPr>
              <w:jc w:val="center"/>
              <w:ind w:left="36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7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Operations</w:t>
            </w:r>
          </w:p>
        </w:tc>
        <w:tc>
          <w:tcPr>
            <w:tcW w:w="3880" w:type="dxa"/>
            <w:vAlign w:val="bottom"/>
            <w:gridSpan w:val="4"/>
            <w:shd w:val="clear" w:color="auto" w:fill="CCEEFF"/>
          </w:tcPr>
          <w:p>
            <w:pPr>
              <w:jc w:val="center"/>
              <w:ind w:left="36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8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7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Stockholders’ Equity</w:t>
            </w:r>
          </w:p>
        </w:tc>
        <w:tc>
          <w:tcPr>
            <w:tcW w:w="3880" w:type="dxa"/>
            <w:vAlign w:val="bottom"/>
            <w:gridSpan w:val="4"/>
          </w:tcPr>
          <w:p>
            <w:pPr>
              <w:jc w:val="center"/>
              <w:ind w:left="36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Consolidated Statements of Comprehensive Income (Loss)</w:t>
            </w:r>
          </w:p>
        </w:tc>
        <w:tc>
          <w:tcPr>
            <w:tcW w:w="1740" w:type="dxa"/>
            <w:vAlign w:val="bottom"/>
            <w:shd w:val="clear" w:color="auto" w:fill="CCEEFF"/>
          </w:tcPr>
          <w:p>
            <w:pPr>
              <w:spacing w:after="0"/>
              <w:rPr>
                <w:sz w:val="15"/>
                <w:szCs w:val="15"/>
                <w:color w:val="auto"/>
              </w:rPr>
            </w:pPr>
          </w:p>
        </w:tc>
        <w:tc>
          <w:tcPr>
            <w:tcW w:w="3880" w:type="dxa"/>
            <w:vAlign w:val="bottom"/>
            <w:gridSpan w:val="4"/>
            <w:shd w:val="clear" w:color="auto" w:fill="CCEEFF"/>
          </w:tcPr>
          <w:p>
            <w:pPr>
              <w:jc w:val="center"/>
              <w:ind w:left="36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8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Cash Flows</w:t>
            </w:r>
          </w:p>
        </w:tc>
        <w:tc>
          <w:tcPr>
            <w:tcW w:w="1740" w:type="dxa"/>
            <w:vAlign w:val="bottom"/>
          </w:tcPr>
          <w:p>
            <w:pPr>
              <w:spacing w:after="0"/>
              <w:rPr>
                <w:sz w:val="15"/>
                <w:szCs w:val="15"/>
                <w:color w:val="auto"/>
              </w:rPr>
            </w:pPr>
          </w:p>
        </w:tc>
        <w:tc>
          <w:tcPr>
            <w:tcW w:w="3880" w:type="dxa"/>
            <w:vAlign w:val="bottom"/>
            <w:gridSpan w:val="4"/>
          </w:tcPr>
          <w:p>
            <w:pPr>
              <w:jc w:val="center"/>
              <w:ind w:left="3630"/>
              <w:spacing w:after="0" w:line="176" w:lineRule="exact"/>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7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3880" w:type="dxa"/>
            <w:vAlign w:val="bottom"/>
            <w:gridSpan w:val="4"/>
            <w:shd w:val="clear" w:color="auto" w:fill="CCEEFF"/>
          </w:tcPr>
          <w:p>
            <w:pPr>
              <w:jc w:val="center"/>
              <w:ind w:left="3630"/>
              <w:spacing w:after="0" w:line="176" w:lineRule="exact"/>
              <w:rPr>
                <w:sz w:val="20"/>
                <w:szCs w:val="20"/>
                <w:color w:val="auto"/>
              </w:rPr>
            </w:pPr>
            <w:r>
              <w:rPr>
                <w:rFonts w:ascii="Times New Roman" w:cs="Times New Roman" w:eastAsia="Times New Roman" w:hAnsi="Times New Roman"/>
                <w:sz w:val="18"/>
                <w:szCs w:val="18"/>
                <w:color w:val="0000EE"/>
                <w:w w:val="88"/>
              </w:rPr>
              <w:t>9</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18</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 xml:space="preserve">PART II </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 xml:space="preserve"> Other Information</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 – Risk Factors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12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8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72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880" w:type="dxa"/>
            <w:vAlign w:val="bottom"/>
            <w:gridSpan w:val="4"/>
            <w:shd w:val="clear" w:color="auto" w:fill="CCEEFF"/>
          </w:tcPr>
          <w:p>
            <w:pPr>
              <w:jc w:val="center"/>
              <w:ind w:left="361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80" w:type="dxa"/>
            <w:vAlign w:val="bottom"/>
            <w:shd w:val="clear" w:color="auto" w:fill="CCEEFF"/>
          </w:tcPr>
          <w:p>
            <w:pPr>
              <w:spacing w:after="0"/>
              <w:rPr>
                <w:sz w:val="17"/>
                <w:szCs w:val="17"/>
                <w:color w:val="auto"/>
              </w:rPr>
            </w:pPr>
          </w:p>
        </w:tc>
      </w:tr>
      <w:tr>
        <w:trPr>
          <w:trHeight w:val="574"/>
        </w:trPr>
        <w:tc>
          <w:tcPr>
            <w:tcW w:w="1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740" w:type="dxa"/>
            <w:vAlign w:val="bottom"/>
            <w:tcBorders>
              <w:top w:val="single" w:sz="8" w:color="CCEEFF"/>
              <w:bottom w:val="single" w:sz="8" w:color="auto"/>
            </w:tcBorders>
          </w:tcPr>
          <w:p>
            <w:pPr>
              <w:spacing w:after="0"/>
              <w:rPr>
                <w:sz w:val="24"/>
                <w:szCs w:val="24"/>
                <w:color w:val="auto"/>
              </w:rPr>
            </w:pPr>
          </w:p>
        </w:tc>
        <w:tc>
          <w:tcPr>
            <w:tcW w:w="37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6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410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1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26"/>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6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LIQUIDMETAL TECHNOLOGIES, INC. AND SUBSIDIARIES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1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1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720" w:type="dxa"/>
            <w:vAlign w:val="bottom"/>
            <w:gridSpan w:val="2"/>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 in thousands, except par value and share data)</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89"/>
        </w:trPr>
        <w:tc>
          <w:tcPr>
            <w:tcW w:w="80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7,164</w:t>
            </w:r>
          </w:p>
        </w:tc>
        <w:tc>
          <w:tcPr>
            <w:tcW w:w="80" w:type="dxa"/>
            <w:vAlign w:val="bottom"/>
          </w:tcPr>
          <w:p>
            <w:pPr>
              <w:spacing w:after="0"/>
              <w:rPr>
                <w:sz w:val="18"/>
                <w:szCs w:val="18"/>
                <w:color w:val="auto"/>
              </w:rPr>
            </w:pPr>
          </w:p>
        </w:tc>
      </w:tr>
      <w:tr>
        <w:trPr>
          <w:trHeight w:val="216"/>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Investments in debt securities- short term</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4,917</w:t>
            </w:r>
          </w:p>
        </w:tc>
        <w:tc>
          <w:tcPr>
            <w:tcW w:w="80" w:type="dxa"/>
            <w:vAlign w:val="bottom"/>
          </w:tcPr>
          <w:p>
            <w:pPr>
              <w:spacing w:after="0"/>
              <w:rPr>
                <w:sz w:val="18"/>
                <w:szCs w:val="18"/>
                <w:color w:val="auto"/>
              </w:rPr>
            </w:pPr>
          </w:p>
        </w:tc>
      </w:tr>
      <w:tr>
        <w:trPr>
          <w:trHeight w:val="216"/>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r>
      <w:tr>
        <w:trPr>
          <w:trHeight w:val="230"/>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gridSpan w:val="2"/>
          </w:tcPr>
          <w:p>
            <w:pPr>
              <w:spacing w:after="0"/>
              <w:rPr>
                <w:sz w:val="18"/>
                <w:szCs w:val="18"/>
                <w:color w:val="auto"/>
              </w:rPr>
            </w:pPr>
          </w:p>
        </w:tc>
      </w:tr>
      <w:tr>
        <w:trPr>
          <w:trHeight w:val="216"/>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Investments in debt securities- long term</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7,050</w:t>
            </w:r>
          </w:p>
        </w:tc>
        <w:tc>
          <w:tcPr>
            <w:tcW w:w="80" w:type="dxa"/>
            <w:vAlign w:val="bottom"/>
          </w:tcPr>
          <w:p>
            <w:pPr>
              <w:spacing w:after="0"/>
              <w:rPr>
                <w:sz w:val="18"/>
                <w:szCs w:val="18"/>
                <w:color w:val="auto"/>
              </w:rPr>
            </w:pPr>
          </w:p>
        </w:tc>
      </w:tr>
      <w:tr>
        <w:trPr>
          <w:trHeight w:val="216"/>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r>
      <w:tr>
        <w:trPr>
          <w:trHeight w:val="263"/>
        </w:trPr>
        <w:tc>
          <w:tcPr>
            <w:tcW w:w="8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5"/>
        </w:trPr>
        <w:tc>
          <w:tcPr>
            <w:tcW w:w="80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80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80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000" w:type="dxa"/>
            <w:vAlign w:val="bottom"/>
            <w:gridSpan w:val="4"/>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$0.001 par value; 1,100,000,000 shares authorized; 917,285,149 and 917,285,149</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 respectively</w:t>
            </w: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8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18,179</w:t>
            </w:r>
          </w:p>
        </w:tc>
      </w:tr>
      <w:tr>
        <w:trPr>
          <w:trHeight w:val="216"/>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288,458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288,420</w:t>
            </w:r>
          </w:p>
        </w:tc>
        <w:tc>
          <w:tcPr>
            <w:tcW w:w="80" w:type="dxa"/>
            <w:vAlign w:val="bottom"/>
          </w:tcPr>
          <w:p>
            <w:pPr>
              <w:spacing w:after="0"/>
              <w:rPr>
                <w:sz w:val="18"/>
                <w:szCs w:val="18"/>
                <w:color w:val="auto"/>
              </w:rPr>
            </w:pPr>
          </w:p>
        </w:tc>
      </w:tr>
      <w:tr>
        <w:trPr>
          <w:trHeight w:val="216"/>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(281,359)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(280,594)</w:t>
            </w:r>
          </w:p>
        </w:tc>
      </w:tr>
      <w:tr>
        <w:trPr>
          <w:trHeight w:val="216"/>
        </w:trPr>
        <w:tc>
          <w:tcPr>
            <w:tcW w:w="80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80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Non-controlling interest in subsidiary</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80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28,569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29,114</w:t>
            </w:r>
          </w:p>
        </w:tc>
        <w:tc>
          <w:tcPr>
            <w:tcW w:w="8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96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LIQUIDMETAL TECHNOLOGIES, INC. AND SUBSIDIARIES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 in thousands, except share and per share data)</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Licensing and royalties</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128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income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Liquidmetal Technologies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common share basic and diluted:</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per common share attributable to Liquidmetal Technologies shareholders,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Number of weighted average shares - basic and diluted</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917,285,149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917,285,149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part of</w:t>
            </w:r>
          </w:p>
        </w:tc>
        <w:tc>
          <w:tcPr>
            <w:tcW w:w="220" w:type="dxa"/>
            <w:vAlign w:val="bottom"/>
          </w:tcPr>
          <w:p>
            <w:pPr>
              <w:spacing w:after="0"/>
              <w:rPr>
                <w:sz w:val="11"/>
                <w:szCs w:val="11"/>
                <w:color w:val="auto"/>
              </w:rPr>
            </w:pPr>
          </w:p>
        </w:tc>
        <w:tc>
          <w:tcPr>
            <w:tcW w:w="90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1"/>
                <w:szCs w:val="11"/>
                <w:color w:val="auto"/>
              </w:rPr>
            </w:pPr>
          </w:p>
        </w:tc>
        <w:tc>
          <w:tcPr>
            <w:tcW w:w="920" w:type="dxa"/>
            <w:vAlign w:val="bottom"/>
          </w:tcPr>
          <w:p>
            <w:pPr>
              <w:jc w:val="center"/>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80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Preferred</w:t>
            </w:r>
          </w:p>
        </w:tc>
        <w:tc>
          <w:tcPr>
            <w:tcW w:w="340" w:type="dxa"/>
            <w:vAlign w:val="bottom"/>
          </w:tcPr>
          <w:p>
            <w:pPr>
              <w:spacing w:after="0"/>
              <w:rPr>
                <w:sz w:val="12"/>
                <w:szCs w:val="12"/>
                <w:color w:val="auto"/>
              </w:rPr>
            </w:pPr>
          </w:p>
        </w:tc>
        <w:tc>
          <w:tcPr>
            <w:tcW w:w="106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2"/>
                <w:szCs w:val="12"/>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2"/>
                <w:szCs w:val="12"/>
                <w:color w:val="auto"/>
              </w:rPr>
            </w:pPr>
          </w:p>
        </w:tc>
        <w:tc>
          <w:tcPr>
            <w:tcW w:w="9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2"/>
                <w:szCs w:val="12"/>
                <w:color w:val="auto"/>
              </w:rPr>
            </w:pPr>
          </w:p>
        </w:tc>
        <w:tc>
          <w:tcPr>
            <w:tcW w:w="9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8"/>
              </w:rPr>
              <w:t>controlling</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80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340" w:type="dxa"/>
            <w:vAlign w:val="bottom"/>
          </w:tcPr>
          <w:p>
            <w:pPr>
              <w:spacing w:after="0"/>
              <w:rPr>
                <w:sz w:val="13"/>
                <w:szCs w:val="13"/>
                <w:color w:val="auto"/>
              </w:rPr>
            </w:pPr>
          </w:p>
        </w:tc>
        <w:tc>
          <w:tcPr>
            <w:tcW w:w="106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88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220" w:type="dxa"/>
            <w:vAlign w:val="bottom"/>
          </w:tcPr>
          <w:p>
            <w:pPr>
              <w:spacing w:after="0"/>
              <w:rPr>
                <w:sz w:val="13"/>
                <w:szCs w:val="13"/>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3"/>
                <w:szCs w:val="13"/>
                <w:color w:val="auto"/>
              </w:rPr>
            </w:pP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3"/>
                <w:szCs w:val="13"/>
                <w:color w:val="auto"/>
              </w:rPr>
            </w:pPr>
          </w:p>
        </w:tc>
        <w:tc>
          <w:tcPr>
            <w:tcW w:w="9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200" w:type="dxa"/>
            <w:vAlign w:val="bottom"/>
          </w:tcPr>
          <w:p>
            <w:pPr>
              <w:spacing w:after="0"/>
              <w:rPr>
                <w:sz w:val="13"/>
                <w:szCs w:val="13"/>
                <w:color w:val="auto"/>
              </w:rPr>
            </w:pPr>
          </w:p>
        </w:tc>
        <w:tc>
          <w:tcPr>
            <w:tcW w:w="92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26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 December</w:t>
            </w:r>
          </w:p>
        </w:tc>
        <w:tc>
          <w:tcPr>
            <w:tcW w:w="3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31, 2025</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917,285,149</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917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18,179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288,420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(280,594)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(81)</w:t>
            </w:r>
          </w:p>
        </w:tc>
        <w:tc>
          <w:tcPr>
            <w:tcW w:w="2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27,086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60" w:type="dxa"/>
            <w:vAlign w:val="bottom"/>
            <w:gridSpan w:val="2"/>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Stock-based</w:t>
            </w:r>
          </w:p>
        </w:tc>
        <w:tc>
          <w:tcPr>
            <w:tcW w:w="3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compensation</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6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34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(765)</w:t>
            </w:r>
          </w:p>
        </w:tc>
        <w:tc>
          <w:tcPr>
            <w:tcW w:w="160" w:type="dxa"/>
            <w:vAlign w:val="bottom"/>
          </w:tcPr>
          <w:p>
            <w:pPr>
              <w:spacing w:after="0"/>
              <w:rPr>
                <w:sz w:val="11"/>
                <w:szCs w:val="11"/>
                <w:color w:val="auto"/>
              </w:rPr>
            </w:pP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(765)</w:t>
            </w:r>
          </w:p>
        </w:tc>
        <w:tc>
          <w:tcPr>
            <w:tcW w:w="0" w:type="dxa"/>
            <w:vAlign w:val="bottom"/>
          </w:tcPr>
          <w:p>
            <w:pPr>
              <w:spacing w:after="0"/>
              <w:rPr>
                <w:sz w:val="1"/>
                <w:szCs w:val="1"/>
                <w:color w:val="auto"/>
              </w:rPr>
            </w:pPr>
          </w:p>
        </w:tc>
      </w:tr>
      <w:tr>
        <w:trPr>
          <w:trHeight w:val="117"/>
        </w:trPr>
        <w:tc>
          <w:tcPr>
            <w:tcW w:w="2060" w:type="dxa"/>
            <w:vAlign w:val="bottom"/>
            <w:gridSpan w:val="2"/>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Foreign</w:t>
            </w:r>
          </w:p>
        </w:tc>
        <w:tc>
          <w:tcPr>
            <w:tcW w:w="3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gridSpan w:val="2"/>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currency</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gridSpan w:val="2"/>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adjustment</w:t>
            </w:r>
          </w:p>
        </w:tc>
        <w:tc>
          <w:tcPr>
            <w:tcW w:w="3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6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53"/>
        </w:trPr>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loss</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6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 March 31,</w:t>
            </w:r>
          </w:p>
        </w:tc>
        <w:tc>
          <w:tcPr>
            <w:tcW w:w="3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917,285,149</w:t>
            </w:r>
          </w:p>
        </w:tc>
        <w:tc>
          <w:tcPr>
            <w:tcW w:w="2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917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18,179</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288,458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(281,359)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244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(81)</w:t>
            </w:r>
          </w:p>
        </w:tc>
        <w:tc>
          <w:tcPr>
            <w:tcW w:w="2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26,358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6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 December</w:t>
            </w: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800" w:type="dxa"/>
            <w:vAlign w:val="bottom"/>
          </w:tcPr>
          <w:p>
            <w:pPr>
              <w:spacing w:after="0"/>
              <w:rPr>
                <w:sz w:val="13"/>
                <w:szCs w:val="13"/>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917,285,149</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917</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18,179</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288,270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(278,253)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(80)</w:t>
            </w: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29,140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6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Stock-based</w:t>
            </w: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compensation</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18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60" w:type="dxa"/>
            <w:vAlign w:val="bottom"/>
            <w:gridSpan w:val="2"/>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340" w:type="dxa"/>
            <w:vAlign w:val="bottom"/>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(568)</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(568)</w:t>
            </w:r>
          </w:p>
        </w:tc>
        <w:tc>
          <w:tcPr>
            <w:tcW w:w="0" w:type="dxa"/>
            <w:vAlign w:val="bottom"/>
          </w:tcPr>
          <w:p>
            <w:pPr>
              <w:spacing w:after="0"/>
              <w:rPr>
                <w:sz w:val="1"/>
                <w:szCs w:val="1"/>
                <w:color w:val="auto"/>
              </w:rPr>
            </w:pPr>
          </w:p>
        </w:tc>
      </w:tr>
      <w:tr>
        <w:trPr>
          <w:trHeight w:val="117"/>
        </w:trPr>
        <w:tc>
          <w:tcPr>
            <w:tcW w:w="206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6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gain</w:t>
            </w: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20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6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Balance - March 31,</w:t>
            </w:r>
          </w:p>
        </w:tc>
        <w:tc>
          <w:tcPr>
            <w:tcW w:w="3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917,285,149</w:t>
            </w:r>
          </w:p>
        </w:tc>
        <w:tc>
          <w:tcPr>
            <w:tcW w:w="2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917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18,179</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288,324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(278,821)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127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(80)</w:t>
            </w:r>
          </w:p>
        </w:tc>
        <w:tc>
          <w:tcPr>
            <w:tcW w:w="2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28,646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7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LIQUIDMETAL TECHNOLOGIES, INC. AND SUBSIDIARIES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 in thousands, except share and per share data)</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(765)</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(568)</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available-for-sale securities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r>
      <w:tr>
        <w:trPr>
          <w:trHeight w:val="22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20" w:type="dxa"/>
            <w:vAlign w:val="bottom"/>
          </w:tcPr>
          <w:p>
            <w:pPr>
              <w:spacing w:after="0"/>
              <w:rPr>
                <w:sz w:val="18"/>
                <w:szCs w:val="18"/>
                <w:color w:val="auto"/>
              </w:rPr>
            </w:pP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(766)</w:t>
            </w:r>
          </w:p>
        </w:tc>
        <w:tc>
          <w:tcPr>
            <w:tcW w:w="112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(548)</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020" w:type="dxa"/>
            <w:vAlign w:val="bottom"/>
          </w:tcPr>
          <w:p>
            <w:pPr>
              <w:spacing w:after="0"/>
              <w:rPr>
                <w:sz w:val="19"/>
                <w:szCs w:val="19"/>
                <w:color w:val="auto"/>
              </w:rPr>
            </w:pPr>
          </w:p>
        </w:tc>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Liquidmetal Technologies shareholders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(766)</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(548)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72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LIQUIDMETAL TECHNOLOGIES, INC. AND SUBSIDIARIES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 in thousands, except per share data)</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Realized investment gains (loss), net</w:t>
            </w:r>
          </w:p>
        </w:tc>
        <w:tc>
          <w:tcPr>
            <w:tcW w:w="10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Unrealized investment gain (loss), net</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8"/>
                <w:szCs w:val="18"/>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Grain on sale of equipment</w:t>
            </w:r>
          </w:p>
        </w:tc>
        <w:tc>
          <w:tcPr>
            <w:tcW w:w="10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0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8"/>
                <w:szCs w:val="18"/>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0" w:type="dxa"/>
            <w:vAlign w:val="bottom"/>
          </w:tcPr>
          <w:p>
            <w:pPr>
              <w:spacing w:after="0"/>
              <w:rPr>
                <w:sz w:val="18"/>
                <w:szCs w:val="18"/>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debt securities</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sales of debt securities</w:t>
            </w:r>
          </w:p>
        </w:tc>
        <w:tc>
          <w:tcPr>
            <w:tcW w:w="1000" w:type="dxa"/>
            <w:vAlign w:val="bottom"/>
          </w:tcPr>
          <w:p>
            <w:pPr>
              <w:spacing w:after="0"/>
              <w:rPr>
                <w:sz w:val="18"/>
                <w:szCs w:val="18"/>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3,846</w:t>
            </w:r>
          </w:p>
        </w:tc>
      </w:tr>
      <w:tr>
        <w:trPr>
          <w:trHeight w:val="23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0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6,011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7,404</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4,900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7"/>
        </w:trPr>
        <w:tc>
          <w:tcPr>
            <w:tcW w:w="8000" w:type="dxa"/>
            <w:vAlign w:val="bottom"/>
            <w:tcBorders>
              <w:top w:val="single" w:sz="8" w:color="CCEEFF"/>
              <w:bottom w:val="single" w:sz="8" w:color="CCEEFF"/>
            </w:tcBorders>
            <w:gridSpan w:val="2"/>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Borders>
              <w:top w:val="single" w:sz="8" w:color="auto"/>
              <w:bottom w:val="single" w:sz="8" w:color="auto"/>
            </w:tcBorders>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LIQUIDMETAL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(numbers in thousands, except percentages,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9"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Liquidmetal Technologies, Inc. (the “Company”) is a materials technology and manufacturing company focused on the development and commercialization of products made from proprietary amorphous alloys and/or utilizing proprietary amorphous alloy manufacturing technologies. In addition to developing the Company’s manufacturing facility through our subsidiary in China, the Company works with third-party manufacturing and commercial partners to develop and commercial products made from proprietary amorphous alloys.</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may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not have to select specific alloys to achieve one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not possible or commercially viable with other materials.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revenues are derived from i) selling bulk Liquidmetal alloy products to customers who produce medical devices, automotive assemblies, sports and leisure goods, and non-consumer electronic devices, ii) selling tooling and prototype parts such as demonstration parts and test samples for customers with products in development, iii) product licensing and royalty revenue, and iv) research and development revenue. The Company expects that these sources of revenue will continue to significantly change the character of the Company’s revenue mix.</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and for the three months ended March 31, 2026 and 2025 have been prepared in accordance with accounting principles generally accepted in the United States of America (“US GAAP”) for interim financial information and in accordance with the instructions to Form 10-Q. Accordingly, they do not include all of the information and notes required by US GAAP for complete financial statements. In the opinion of management, all adjustments (consisting only of normal recurring accruals) considered necessary for a fair presentation have been included. All intercompany balances and transactions have been eliminated in consolidation. Operating results for the three months ended March 31, 2026 are not necessarily indicative of the results that may be expected for any future periods or the year ending December 31, 2026. The accompanying unaudited consolidated financial statements should be read in conjunction with the Company's 2025 Annual Report on Form 10-K filed with the Securities and Exchange Commission (“SEC”) on March 12,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 in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not recognize any other-than-temporary impairment losses considered to be credit related for the three months ended March 31, 2026 and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values of financial instruments reported in the consolidated financial statements have been determined using available market information and valuation methodologies, as applicable. The fair value of cash and restricted cash approximate their carrying value due to their short maturities and are classified as Level 1 instruments within the fair value hierarchy.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Level 1 —</w:t>
            </w:r>
          </w:p>
        </w:tc>
        <w:tc>
          <w:tcPr>
            <w:tcW w:w="101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Quoted prices in active markets for identical assets or liabilities;</w:t>
            </w:r>
          </w:p>
        </w:tc>
      </w:tr>
      <w:tr>
        <w:trPr>
          <w:trHeight w:val="249"/>
        </w:trPr>
        <w:tc>
          <w:tcPr>
            <w:tcW w:w="1140" w:type="dxa"/>
            <w:vAlign w:val="bottom"/>
            <w:tcBorders>
              <w:bottom w:val="single" w:sz="8" w:color="auto"/>
            </w:tcBorders>
          </w:tcPr>
          <w:p>
            <w:pPr>
              <w:spacing w:after="0"/>
              <w:rPr>
                <w:sz w:val="21"/>
                <w:szCs w:val="21"/>
                <w:color w:val="auto"/>
              </w:rPr>
            </w:pPr>
          </w:p>
        </w:tc>
        <w:tc>
          <w:tcPr>
            <w:tcW w:w="10100" w:type="dxa"/>
            <w:vAlign w:val="bottom"/>
            <w:tcBorders>
              <w:bottom w:val="single" w:sz="8" w:color="auto"/>
            </w:tcBorders>
          </w:tcPr>
          <w:p>
            <w:pPr>
              <w:spacing w:after="0"/>
              <w:rPr>
                <w:sz w:val="21"/>
                <w:szCs w:val="21"/>
                <w:color w:val="auto"/>
              </w:rPr>
            </w:pPr>
          </w:p>
        </w:tc>
      </w:tr>
      <w:tr>
        <w:trPr>
          <w:trHeight w:val="154"/>
        </w:trPr>
        <w:tc>
          <w:tcPr>
            <w:tcW w:w="1140" w:type="dxa"/>
            <w:vAlign w:val="bottom"/>
            <w:tcBorders>
              <w:left w:val="single" w:sz="8" w:color="auto"/>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7"/>
                <w:szCs w:val="17"/>
                <w:color w:val="auto"/>
              </w:rPr>
              <w:t>Level 2 —</w:t>
            </w:r>
          </w:p>
        </w:tc>
        <w:tc>
          <w:tcPr>
            <w:tcW w:w="1010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w:t>
            </w: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0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are not active; or other inputs that are observable or can be corroborated by observable market data for substantially the full term of the</w:t>
            </w:r>
          </w:p>
        </w:tc>
      </w:tr>
      <w:tr>
        <w:trPr>
          <w:trHeight w:val="231"/>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 or liabilities; and</w:t>
            </w:r>
          </w:p>
        </w:tc>
      </w:tr>
      <w:tr>
        <w:trPr>
          <w:trHeight w:val="250"/>
        </w:trPr>
        <w:tc>
          <w:tcPr>
            <w:tcW w:w="1140" w:type="dxa"/>
            <w:vAlign w:val="bottom"/>
            <w:tcBorders>
              <w:bottom w:val="single" w:sz="8" w:color="auto"/>
            </w:tcBorders>
          </w:tcPr>
          <w:p>
            <w:pPr>
              <w:spacing w:after="0"/>
              <w:rPr>
                <w:sz w:val="21"/>
                <w:szCs w:val="21"/>
                <w:color w:val="auto"/>
              </w:rPr>
            </w:pPr>
          </w:p>
        </w:tc>
        <w:tc>
          <w:tcPr>
            <w:tcW w:w="10100" w:type="dxa"/>
            <w:vAlign w:val="bottom"/>
            <w:tcBorders>
              <w:bottom w:val="single" w:sz="8" w:color="auto"/>
            </w:tcBorders>
          </w:tcPr>
          <w:p>
            <w:pPr>
              <w:spacing w:after="0"/>
              <w:rPr>
                <w:sz w:val="21"/>
                <w:szCs w:val="21"/>
                <w:color w:val="auto"/>
              </w:rPr>
            </w:pPr>
          </w:p>
        </w:tc>
      </w:tr>
      <w:tr>
        <w:trPr>
          <w:trHeight w:val="169"/>
        </w:trPr>
        <w:tc>
          <w:tcPr>
            <w:tcW w:w="1140" w:type="dxa"/>
            <w:vAlign w:val="bottom"/>
            <w:tcBorders>
              <w:left w:val="single" w:sz="8" w:color="auto"/>
              <w:bottom w:val="single" w:sz="8" w:color="auto"/>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Level 3 —</w:t>
            </w:r>
          </w:p>
        </w:tc>
        <w:tc>
          <w:tcPr>
            <w:tcW w:w="10100" w:type="dxa"/>
            <w:vAlign w:val="bottom"/>
            <w:tcBorders>
              <w:bottom w:val="single" w:sz="8" w:color="auto"/>
              <w:right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tc>
      </w:tr>
    </w:tbl>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following table represents the Company’s fair value hierarchy for items that are required to be measured at fair value on a recurring basis: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8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00" w:type="dxa"/>
            <w:vAlign w:val="bottom"/>
            <w:tcBorders>
              <w:top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Borders>
              <w:top w:val="single" w:sz="8" w:color="auto"/>
              <w:bottom w:val="single" w:sz="8" w:color="auto"/>
              <w:right w:val="single" w:sz="8" w:color="auto"/>
            </w:tcBorders>
          </w:tcPr>
          <w:p>
            <w:pPr>
              <w:spacing w:after="0"/>
              <w:rPr>
                <w:sz w:val="21"/>
                <w:szCs w:val="21"/>
                <w:color w:val="auto"/>
              </w:rPr>
            </w:pPr>
          </w:p>
        </w:tc>
      </w:tr>
      <w:tr>
        <w:trPr>
          <w:trHeight w:val="213"/>
        </w:trPr>
        <w:tc>
          <w:tcPr>
            <w:tcW w:w="58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r>
      <w:tr>
        <w:trPr>
          <w:trHeight w:val="223"/>
        </w:trPr>
        <w:tc>
          <w:tcPr>
            <w:tcW w:w="5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Investments in debt securities (short-term)</w:t>
            </w:r>
          </w:p>
        </w:tc>
        <w:tc>
          <w:tcPr>
            <w:tcW w:w="1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r>
      <w:tr>
        <w:trPr>
          <w:trHeight w:val="223"/>
        </w:trPr>
        <w:tc>
          <w:tcPr>
            <w:tcW w:w="5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Investments in debt securities (long-term)</w:t>
            </w:r>
          </w:p>
        </w:tc>
        <w:tc>
          <w:tcPr>
            <w:tcW w:w="1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following table represents the Company’s fair value hierarchy for items that are required to be measured at fair value on a recurring basis: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8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bottom w:val="single" w:sz="8" w:color="auto"/>
              <w:right w:val="single" w:sz="8" w:color="auto"/>
            </w:tcBorders>
          </w:tcPr>
          <w:p>
            <w:pPr>
              <w:spacing w:after="0"/>
              <w:rPr>
                <w:sz w:val="21"/>
                <w:szCs w:val="21"/>
                <w:color w:val="auto"/>
              </w:rPr>
            </w:pPr>
          </w:p>
        </w:tc>
        <w:tc>
          <w:tcPr>
            <w:tcW w:w="100" w:type="dxa"/>
            <w:vAlign w:val="bottom"/>
            <w:tcBorders>
              <w:top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Borders>
              <w:top w:val="single" w:sz="8" w:color="auto"/>
              <w:bottom w:val="single" w:sz="8" w:color="auto"/>
              <w:right w:val="single" w:sz="8" w:color="auto"/>
            </w:tcBorders>
          </w:tcPr>
          <w:p>
            <w:pPr>
              <w:spacing w:after="0"/>
              <w:rPr>
                <w:sz w:val="21"/>
                <w:szCs w:val="21"/>
                <w:color w:val="auto"/>
              </w:rPr>
            </w:pPr>
          </w:p>
        </w:tc>
      </w:tr>
      <w:tr>
        <w:trPr>
          <w:trHeight w:val="213"/>
        </w:trPr>
        <w:tc>
          <w:tcPr>
            <w:tcW w:w="58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r>
      <w:tr>
        <w:trPr>
          <w:trHeight w:val="223"/>
        </w:trPr>
        <w:tc>
          <w:tcPr>
            <w:tcW w:w="5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Investments in debt securities (short-term)</w:t>
            </w: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r>
      <w:tr>
        <w:trPr>
          <w:trHeight w:val="223"/>
        </w:trPr>
        <w:tc>
          <w:tcPr>
            <w:tcW w:w="5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Investments in debt securities (long-term)</w:t>
            </w: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right w:val="single" w:sz="8" w:color="auto"/>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FASB Accounting Standards Codification, or ASC, Topic 842, Leases (“ASC 842”) which requires the recognition of the right-of-use assets and relating operating and finance lease liabilities on the balance sheet. Under ASC 842, all leases are required to be recorded on the balance sheet and are classified as either operating leases or finance leases. The lease classification affects the expense recognition in the income statement. Operating lease charges are recorded entirely in operating expenses. Finance lease charges are split, where amortization of the right-of-use asset is recorded in operating expenses and an implied interest component is recorded in interest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Translation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operations in China. Accounting records in foreign operations are maintained in local currencies and remeasured to the US dollars during the consolidation. Nonmonetary assets and liabilities are translated at historical rates, and monetary assets and liabilities are translated at exchange rates in effect at the end of the year. Income statement accounts are translated at average rates for the year. Gains or losses from remeasurement of foreign currency financial statements into the US dollars are included in current results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Recent Pronouncements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2016, the FASB issued an accounting standards update which changes the methodology for measuring credit losses on financial instruments and the timing of when such losses are recorded. This update replaces the existing incurred loss impairment model with an expected loss model (referred to as the Current Expected Credit Loss model, or "CECL"). The standard update, and its related amendments, will become effective for the fiscal year beginning on January 1, 2023. This did not have a material impact on its consolidated financial statements as of and for the year ended December 31, 2025.</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AICPA and the SEC did not or are not believed by management to have a material impact on the Company's present or future consolidated financial statements.</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Hangzhou Feifeng Liquidmetal Co., Ltd. Joint Venture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Liquidmetal Asia Holdings Limited (“Liquidmetal Asia”), a Hong Kong based, wholly owned subsidiary of the Company,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is owned 70% by Liquidmetal Asia and 30% by Mr. Liu and has been capitalized with $6.0 million USD of initial capital, of which $4.2 million has been contributed by Liquidmetal Asia, and $1.8 million will be contributed by Mr. Liu on or before May 25, 2028.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Yihao Manufacturing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12, 2022, the Company entered into a manufacturing agreement (“Manufacturing Agreement”) with Dongguan Yihao Metal Materials Technology Co. Ltd. (“Yihao”) to become an outsourced contract manufacturer of the Company’s products. Under the Manufacturing Agreement, which has a term of five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Facility Purchase and 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16, 2017, the Company purchased a 41,000 square foot facility (the “Facility”) located in Lake Forest, CA for $7,818.</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23, 2020, 20321 Valencia, LLC, a Delaware limited liability company and wholly owned subsidiary of the Company that owns the Facility, entered into a lease agreement pursuant to which the Company leased to MatterHackers, Inc., a Delaware corporation (“Tenant”), an approximately 32,534 square foot portion of the Facility. The lease term was for 5 years and 2 months and expired on April 30, 2025. The base rent payable under the lease was $32,534 per month initially and was subject to periodic increases up to a maximum of approximately $54,000 per month. Tenant paid approximately 79% of common operating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2025, the Company entered into a new lease agreement (the “Facility Lease”) for a 5 year term commencing on May 1, 2025 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the Company or Tenant the right to terminate the Facility Lease after two and a half years into the lease term and has other customary provisions, including provisions relating to default and usage restrictions.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2016 Purchase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10, 2016, the Company entered into a Securities Purchase Agreement (the “2016 Purchase Agreement”) with Liquidmetal Technology Limited, a Hong Kong company (the “Investor”), which is controlled by the Company’s Chairman, Professor Li. The 2016 Purchase Agreement provided for the purchase by the Investor of a total of 405,000,000 shares of the Company’s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 On October 10, 2024, the Investor sold 179,787,888 to various buyers leaving 225,212,112 shares of our common stock owned by the Investor as of March 31,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shares issuable under the 2016 Purchase Agreement, the Company issued to the Investor a warrant to acquire 10,066,809 shares of common stock. The warrant expired March 10,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Eontec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2016, in connection with the 2016 Purchase Agreement, the Company and DongGuan Eontec Co., Ltd., a Hong Kong corporation (“Eontec”), entered into a Parallel License Agreement (the “License Agreement”) pursuant to which the Company and Eontec agreed to cross-license their respective technologies. The Company’s Chairman, Professor Li, is also the Chairman of Eontec.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License Agreement provides for the cross-license of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Apple License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2010, the Company entered into a license transaction with Apple Inc. (“Apple”) pursuant to which (i) the Company contributed substantially all of its intellectual property assets to a newly organized special-purpose, wholly-owned subsidiary, called Crucible Intellectual Property, LLC (“CIP”),</w:t>
      </w:r>
    </w:p>
    <w:p>
      <w:pPr>
        <w:jc w:val="both"/>
        <w:ind w:firstLine="8"/>
        <w:spacing w:after="0" w:line="255" w:lineRule="auto"/>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CIP granted to Apple a perpetual, worldwide, exclusive license to commercialize such intellectual property in the field of consumer electronic products, as defined in the license agreement, in exchange for a one-time, upfront license fee, and (iii) CIP granted back to the Company a perpetual, worldwide, fully-paid, exclusive license to commercialize such intellectual property in all other fields of use.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agreements relating to the license transaction with Apple, the Company was obligated to contribute, to CIP, all intellectual property developed through February 2016. The Company is also obligated to maintain certain limited liability company formalities with respect to CIP at all times after the closing of the license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Liquidmetal Golf Sublicense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Liquidmetal Golf Inc. (“Liquidmetal Golf” or “LMG”) is a majority-owned subsidiary which has the exclusive right and license to utilize our Liquidmetal alloy technology for purposes of golf equipment applications. This right and license is set forth in an intercompany license agreement dated January 1, 2002 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The Company owns 79% of the outstanding common stock in Liquidmetal Golf.</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Liquidmetal Golf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the Company’s amorphous alloy technology and related trademarks to manufacture and sell golf clubs and golf related products. The LMG Sublicense Agreement had an initial term of three years and has been extended for another three year term that provides for the payment of a running royalty to LMG of 3% of the net sales price of licensed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Swatch Group License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2009, the Company entered into a license agreement with Swatch Group, Ltd. (“Swatch”) under which Swatch was granted a non-exclusive license to the Company’s technology to produce and market watches and certain other luxury products. In March 2011, this license agreement was amended to grant Swatch exclusive rights as to watches as against all third parties (including the Company), but non-exclusive as to Apple. The Company will receive royalty payments over the life of the contract on all Liquidmetal products produced and sold by Swatch. The license agreement with Swatch will expire on the expiration date of the last-to-expire licensed patent.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amortized cost fair value, and unrealized gains (losses) of investments in debt securities (short-term and long-term):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Longest Maturity</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8,771</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One-year</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11,591</w:t>
            </w:r>
          </w:p>
        </w:tc>
        <w:tc>
          <w:tcPr>
            <w:tcW w:w="3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11,757</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these investments totaled $129 and $242 during the three months ended March 31, 2026 and 2025, respectively. Such amounts are included as a portion of interest and investment income on the Company’s consolidated statements of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Company’s review of its debt securities that are individually in an unrealized loss position at March 31, 2026, it was determined that the losses were primarily the result current economic factors, impacting all global debt and equity markets, that are the result of global macro events. The impact of the Company’s investment portfolio is considered to be temporary, rather than a deterioration of overall credit quality. As of March 31, 2026, all investments are current on their scheduled interest and dividend payments. The Company does not intend to sell and it is not likely that the Company will be required to sell these securities prior to recovering their amortized cost. As such, the Company does not consider these securities to be other-than-temporarily impaired as of March 31, 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debt securities activities consisted of the following:</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debt securities – beginning balance</w:t>
            </w:r>
          </w:p>
        </w:tc>
        <w:tc>
          <w:tcPr>
            <w:tcW w:w="2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12,523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16,330</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4,658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at cost</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from sale of investment in debt securities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management fees and other fees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debt securities</w:t>
            </w: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debt securities – ending balance</w:t>
            </w:r>
          </w:p>
        </w:tc>
        <w:tc>
          <w:tcPr>
            <w:tcW w:w="2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 current portion</w:t>
            </w:r>
          </w:p>
        </w:tc>
        <w:tc>
          <w:tcPr>
            <w:tcW w:w="25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debt securities – non-current</w:t>
            </w:r>
          </w:p>
        </w:tc>
        <w:tc>
          <w:tcPr>
            <w:tcW w:w="25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TRADE ACCOUNTS RECEIVABLE</w:t>
            </w:r>
          </w:p>
        </w:tc>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8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were comprised of the following:</w:t>
            </w: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2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AR allowance</w:t>
            </w:r>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8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were comprised of the following:</w:t>
            </w: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service invoices</w:t>
            </w:r>
          </w:p>
        </w:tc>
        <w:tc>
          <w:tcPr>
            <w:tcW w:w="2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Prepaid lease costs and receivables- short term</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receivables</w:t>
            </w:r>
          </w:p>
        </w:tc>
        <w:tc>
          <w:tcPr>
            <w:tcW w:w="2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5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6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were comprised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9"/>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 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 furnishings, and improvements</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6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three months ended March 31, 2026 and 2025 were $93 and $78, respectively. Such amounts were included in selling, marketing, general, and administrative expenses within Company’s consolidated statements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disposed of equipment with a cost and accumulated depreciation of $90. As the net book value of the assets was zero, the company recognized a gain on disposal of $5.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PATENTS AND TRADEMARKS, NET</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trademarks were comprised of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and licensed patent rights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patents</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(2,379)</w:t>
            </w:r>
          </w:p>
        </w:tc>
      </w:tr>
      <w:tr>
        <w:trPr>
          <w:trHeight w:val="223"/>
        </w:trPr>
        <w:tc>
          <w:tcPr>
            <w:tcW w:w="8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no further royalties, license fees, or other amounts will be payable in the future under the license agreement. In addition to the purchased and licensed patents, the Company has internally developed patents. Internally developed patents include legal and registration costs incurred to obtain the respective patents. The Company currently holds various patents and numerous pending patent applications in the United States, as well as numerous foreign counterparts to these patents outside of the United States.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amortizes capitalized patents and trademarks over an average of 10-to-17-year periods. Amortization expense for patents and trademarks was $3 and $4 for the three months ended March 31, 2026 and 2025, respectively.</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OTHER ASSETS</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were comprised of the following:</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1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deposits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deposits</w:t>
            </w:r>
          </w:p>
        </w:tc>
        <w:tc>
          <w:tcPr>
            <w:tcW w:w="1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deposits</w:t>
            </w:r>
          </w:p>
        </w:tc>
        <w:tc>
          <w:tcPr>
            <w:tcW w:w="1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ACCRUED LIABILITIES</w:t>
            </w: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were comprised of the following:</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1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vacation, and bonuses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audit fees</w:t>
            </w:r>
          </w:p>
        </w:tc>
        <w:tc>
          <w:tcPr>
            <w:tcW w:w="116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67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CURRENT LIABILITIES</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Other current liabilities was $902 as of March 31, 2026 and December 31, 2025, and consisted of $859 of long-term, aged payables to vendors, individuals, and other third parties that have been outstanding for more than 5 years. Also included in the balance is $43 in tenant deposits under the Facility Lease.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COMPENSATION PLANS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28, 2012, the Company adopted the 2012 Equity Incentive Plan (“2012 Plan”), with the approval of the shareholders, which provided for the grant of stock options to officers, employees, consultants and directors of the Company and its subsidiaries. Under this plan, the Company had outstanding grants of options to purchase 2,380,000 and 2,432,500 shares of the Company’s common stock as of March 31, 2026 and December 31, 2025, respectively. The 2012 Plan expired in June 2022.</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27, 2015, the Company adopted its 2015 Equity Incentive Plan (“2015 Plan”), which provided for the grant of stock options to officers, employees, consultants and directors of the Company and its subsidiaries. A total of 40,000,000 shares of the Company’s common stock were available for issuance under the 2015 Plan. All options granted under the 2015 Plan had exercise prices that were equal to the fair market value on the dates of grant. Under this plan, the Company had outstanding grants of options to purchase 22,461,667 and 22,861,667 as of March 31, 2026 and December 31, 2025, respectively. The 2015 Plan expired in January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ASC 718, Compensation – Stock Compensation, requires all share-based payments to employees, including grants of employee stock options, to be recognized in the financial statements based on their fair values. Under ASC 718, the Company is required to measure the cost of employee services received in exchange for stock options and similar awards based on the grant-date fair value of the award and recognize this cost in the income statement over the period during which an employee is required to provide service in exchange for the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based compensation expense attributable to these plans was $38 and $54 for the three months ended March 31, 2026 and 2025,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volatilities are based on historical volatility expected over the expected life of the options. The Company uses historical data to estimate option exercise and employee termination within the valuation model. The expected term of options granted represents the period of time that options granted are expected to be outstanding. Expected forfeiture rates are determined based on historical forfeitures over a five-year period. The risk-free rate used for the period within the expected life of the options is based on U.S. Treasury rates in effect at the time of grant.</w:t>
      </w:r>
    </w:p>
    <w:p>
      <w:pPr>
        <w:sectPr>
          <w:pgSz w:w="11900" w:h="16838" w:orient="portrait"/>
          <w:cols w:equalWidth="0" w:num="1">
            <w:col w:w="11240"/>
          </w:cols>
          <w:pgMar w:left="320" w:top="108"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FACILITY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rents due to the Company under the Facility Lease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480" w:type="dxa"/>
            <w:vAlign w:val="bottom"/>
            <w:gridSpan w:val="2"/>
          </w:tcPr>
          <w:p>
            <w:pPr>
              <w:jc w:val="right"/>
              <w:ind w:right="48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Base Rents</w:t>
            </w:r>
          </w:p>
        </w:tc>
      </w:tr>
      <w:tr>
        <w:trPr>
          <w:trHeight w:val="209"/>
        </w:trPr>
        <w:tc>
          <w:tcPr>
            <w:tcW w:w="3400" w:type="dxa"/>
            <w:vAlign w:val="bottom"/>
            <w:tcBorders>
              <w:top w:val="single" w:sz="8" w:color="auto"/>
            </w:tcBorders>
          </w:tcPr>
          <w:p>
            <w:pPr>
              <w:spacing w:after="0"/>
              <w:rPr>
                <w:sz w:val="18"/>
                <w:szCs w:val="18"/>
                <w:color w:val="auto"/>
              </w:rPr>
            </w:pPr>
          </w:p>
        </w:tc>
        <w:tc>
          <w:tcPr>
            <w:tcW w:w="6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6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r>
      <w:tr>
        <w:trPr>
          <w:trHeight w:val="228"/>
        </w:trPr>
        <w:tc>
          <w:tcPr>
            <w:tcW w:w="34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LEASE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Company entered into a non-cancelable facility lease commencing and expiring on July 3, 2028, for approximately 6,600 square meters of industrial space in Hangzhou, China. The lease term is 36 months and includes a three-month rent-free period from July 4, 2025 through October 3, 2025, during which only property management fees and utilities are payable. Base rent is $27 per month. The lease is denominated in Renminbi (“RMB” or “yuan”), and the lease liability and right-of-use asset are initially measured in RMB and translated into U.S. dollars for consolidated financial reporting purposes in accordance with ASC830.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2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6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1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0"/>
        </w:trPr>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1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2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1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0"/>
        </w:trPr>
        <w:tc>
          <w:tcPr>
            <w:tcW w:w="6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1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 accordance with ASC 842, the components of lease expense were as follows:</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21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2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2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2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6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14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68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terms</w:t>
            </w:r>
          </w:p>
        </w:tc>
        <w:tc>
          <w:tcPr>
            <w:tcW w:w="2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 years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1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values</w:t>
            </w:r>
          </w:p>
        </w:tc>
        <w:tc>
          <w:tcPr>
            <w:tcW w:w="214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liabilities—current</w:t>
            </w:r>
          </w:p>
        </w:tc>
        <w:tc>
          <w:tcPr>
            <w:tcW w:w="2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liabilities—long-term</w:t>
            </w:r>
          </w:p>
        </w:tc>
        <w:tc>
          <w:tcPr>
            <w:tcW w:w="21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8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liabilities—total</w:t>
            </w:r>
          </w:p>
        </w:tc>
        <w:tc>
          <w:tcPr>
            <w:tcW w:w="21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21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LOSS PER COMMON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earnings (loss) attributable to common shareholders by the weighted average number of common shares outstanding for the periods. Diluted EPS reflects the potential dilution of securities that could share in the earnings.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to purchase 39,841,667 shares of common stock at prices ranging from $0.05 to $0.38 per share were outstanding at March 31, 2026, but were not included in the computation of diluted EPS for the same period as the inclusion would have been antidilutive, given the Company’s net loss. Options to purchase 40,892,992 shares of common stock at prices ranging from $0.05 to $0.38 per share were outstanding at March 31, 2025, but were not included in the computation of diluted EPS for the same period as the inclusion would have been antidilutive, given the Company’s net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10, 2016, the Company entered into the 2016 Purchase Agreement with Liquidmetal Technology Limited, providing for the purchase of 405,000,000 shares of the Company’s common stock for an aggregate purchase price of $63,400. Liquidmetal Technology Limited is owned by our Chairman, Professor Li. In connection with the 2016 Purchase Agreement and also on March 10, 2016, the Company and Eontec entered into a license agreement, pursuant to which the Company and Eontec entered into a cross-license of their respective technologies. Eontec is an affiliate of Yihao which is currently the Company’s primary contract manufacturer. As of March 31, 2026 and December 31, 2025, Professor Li is a greater-than 5% beneficial owner of the Company and serves as the Company’s Chairman. Equipment and services procured from Yihao were $105 and $117 during the three months ended March 31, 2026 and 2025, respectively. As of March 31, 2026 and December 31, 2025, the Company has outstanding payables to Yihao of $0 and $47,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the guidance in FASB ASC Topic 855, Subsequent Events (“ASC 855”), which provides guidance to establish general standards of accounting for and disclosures of events that occur after the balance sheet date but before the consolidated financial statements are issued or are available to be issued. ASC 855 sets forth (i) the period after the balance sheet date during which management of a reporting entity evaluates events or transactions that may occur for potential recognition or disclosure in the consolidated financial statements, (ii) the circumstances under which an entity should recognize events or transactions occurring after the balance sheet date in its consolidated financial statements, and (iii) the disclosures that an entity should make about events or transactions that occurred after the balance sheet date. Accordingly, the Company did not have any subsequent events that require disclosure.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management’s discussion and analysis should be read in conjunction with the consolidated financial statements and notes included elsewhere in this report on Form 10-Q. All amounts described in this section are in thousands, except percentages, periods of time, and share and per share data.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as well as other sections of this report on Form 10-K,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in Part II herein, under the heading “Item 1A. Risk Factors” in our Annual Report on Form 10-K for the fiscal year ended December 31, 2025 and other risks and uncertainties discussed in filings made with the Securities and Exchange Commission (including risks described in subsequent reports on Form 10-Q, Form 10-K, Form 8-K, and other filings).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Liquidmetal Technologies, Inc. disclaims any intention or obligation to update or revise any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materials technology and manufacturing company focused on the development and commercialization of products made from proprietary amorphous alloys and/or utilizing proprietary amorphous alloy manufacturing technologies. In addition to developing our own manufacturing facility through our subsidiary in China, we work with third-party manufacturing and commercial partners to develop and commercial products made from our proprietary amorphous alloys.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derived from i) selling our bulk amorphous alloy custom products and parts for applications which include, but are not limited to, non-consumer electronic devices, medical products, automotive components, and sports and leisure goods; ii) selling tooling and prototype parts such as demonstration parts and test samples for customers with products in development; and iii) product licensing and royalty revenue.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cost of sales consists primarily of the costs of manufacturing, which include raw alloy and direct labor costs. Selling, general, and administrative expenses currently consist primarily of salaries and related benefits, travel, consulting and professional fees, depreciation and amortization, insurance, office and administrative expenses, and other expenses related to our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represent salaries, related benefits expenses, consulting and contract services, expenses incurred for the design and testing of new processing methods, expenses for the development of sample and prototype products, and other expenses related to the research and development of Liquidmetal bulk alloys. Costs associated with research and development activities are expensed as incurred. We plan to enhance our competitive position by improving our existing technologies and developing advances in amorphous alloy technologies. We believe that our research and development efforts will focus on the discovery of new alloy compositions, the development of improved processing technology, and the identification of new applications for our alloys.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Hangzhou Feifeng Liquidmetal Co., Ltd. Joint Venture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Liquidmetal Asia Holdings Limited (“Liquidmetal Asia”), a Hong Kong incorporated wholly owned subsidiary,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is owned 70% by Liquidmetal Asia and 30% by Mr. Liu and has been capitalized with $6.0 million USD of initial capital, of which $4.2 million has been contributed by Liquidmetal Asia, and $1.8 million will be contributed by Mr. Liu on or before May 25, 2028.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Yihao Manufacturing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12, 2022, Liquidmetal Technologies entered into a manufacturing agreement (“Manufacturing Agreement”) with Dongguan Yihao Metal Materials Technology Co. Ltd. (“Yihao”) to become an outsourced manufacturer of the Company’s products. Under the Manufacturing Agreement, which has a term of five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Liquidmetal Golf License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our Liquidmetal Golf subsidiary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the Company’s amorphous alloy technology and related trademarks to manufacture and sell golf clubs and golf related products. The LMG Sublicense Agreement had an original term of three years and has been extended for an additional three year term that provides for the payment of a running royalty to LMG of 3% of the net sales price of licensed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Facility Purchase and 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16, 2017, we purchased a 41,000 square foot facility (the “Facility”) located in Lake Forest, CA for $7,818.</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2020, 20321 Valencia, LLC, a Delaware limited liability company and our wholly owned subsidiary that owns the Facility entered into a lease agreement pursuant to which we leased to MatterHackers, Inc., a Delaware corporation (“Tenant”), an approximately 32,534 square foot portion of the Facility. The lease term was for 5 years and 2 months and expired on April 30, 2025. The base rent payable under the lease was $33 per month initially and was subject to periodic increases up to a maximum of approximately $54 per month. Tenant paid approximately 79% of common operating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2025, we entered into a new lease agreement (the “Facility Lease”) for a 5 year term commencing on May 1, 2025 and expanded the leased square footage to 40,090 square feet. The base rent payable under the Facility Lease is $52 per month initially and is subject to periodic increases up to a maximum of approximately $58 per month. Tenant will pay approximately 98% of building operating expenses. The Facility Lease grants us or Tenant the right to terminate the Facility Lease after two and a half years into the lease term and has other customary provisions, including provisions relating to default and usage restrictions.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2016 Purchase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10, 2016, we entered into a Securities Purchase Agreement (the “2016 Purchase Agreement”) with Liquidmetal Technology Limited, a Hong Kong company (the “Investor”), which is controlled by our Chairman, Professor Lugee Li (“Professor Li”). The 2016 Purchase Agreement provided for the purchase by the Investor of a total of 405,000,000 shares of our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 On October 10, 2024, the Investor sold 179,787,888 to various buyers leaving 226,572,262 shares of our common stock owned by the Investor as of March 31,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shares issuable under the 2016 Purchase Agreement, we issued to the Investor a warrant to acquire 10,066,809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expired on March 10,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Eontec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2016, in connection with the 2016 Purchase Agreement, we entered into a Parallel License Agreement (the “License Agreement”) with DongGuan Eontec Co., Ltd., a Hong Kong corporation (“Eontec”) pursuant to which we each entered into a cross-license of our respective technologies. Our Chairman, Professor Li, is also the Chairman of Eontec.</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In turn,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Apple License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5, 2010, we entered into a license transaction with Apple pursuant to which (i) we contributed substantially all of our intellectual property assets to a newly organized special-purpose, wholly-owned subsidiary,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agreements relating to the license transaction with Apple, we were obligated to contribute to CIP all intellectual property that we developed through February 2016. We are also obligated to maintain certain limited liability company formalities with respect to CIP at all times after the closing of the license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Liquidmetal Golf License</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13, 2022, our Liquidmetal Golf subsidiary (“Liquidmetal Golf” or “LMG”)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our amorphous alloy technology and related trademarks to manufacture and sell golf clubs and golf related products. The original term of three years was extended to have automatic, annual renewals and provided for the payment of a running royalty to LMG of 3% of the net sales price of licensed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Swatch Group License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but non-exclusive as to Apple. We will receive royalty payments over the life of the contract on all Liquidmetal products produced and sold by Swatch. The license agreement with Swatch will expire on the expiration date of the last-to-expire licensed patent.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4225" cy="662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66230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000" w:type="dxa"/>
            <w:vAlign w:val="bottom"/>
            <w:tcBorders>
              <w:top w:val="single" w:sz="8" w:color="auto"/>
            </w:tcBorders>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Revenue recognition</w:t>
            </w:r>
          </w:p>
        </w:tc>
      </w:tr>
    </w:tbl>
    <w:p>
      <w:pPr>
        <w:spacing w:after="0" w:line="1" w:lineRule="exact"/>
        <w:rPr>
          <w:sz w:val="20"/>
          <w:szCs w:val="20"/>
          <w:color w:val="auto"/>
        </w:rPr>
      </w:pPr>
    </w:p>
    <w:p>
      <w:pPr>
        <w:ind w:left="2000" w:hanging="993"/>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 and definite-lived intangibles</w:t>
      </w:r>
    </w:p>
    <w:p>
      <w:pPr>
        <w:spacing w:after="0" w:line="49" w:lineRule="exact"/>
        <w:rPr>
          <w:rFonts w:ascii="Times New Roman" w:cs="Times New Roman" w:eastAsia="Times New Roman" w:hAnsi="Times New Roman"/>
          <w:sz w:val="18"/>
          <w:szCs w:val="18"/>
          <w:color w:val="auto"/>
        </w:rPr>
      </w:pPr>
    </w:p>
    <w:p>
      <w:pPr>
        <w:ind w:left="2000" w:hanging="993"/>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w:t>
      </w:r>
    </w:p>
    <w:p>
      <w:pPr>
        <w:spacing w:after="0" w:line="49" w:lineRule="exact"/>
        <w:rPr>
          <w:rFonts w:ascii="Times New Roman" w:cs="Times New Roman" w:eastAsia="Times New Roman" w:hAnsi="Times New Roman"/>
          <w:sz w:val="18"/>
          <w:szCs w:val="18"/>
          <w:color w:val="auto"/>
        </w:rPr>
      </w:pPr>
    </w:p>
    <w:p>
      <w:pPr>
        <w:ind w:left="2000" w:hanging="993"/>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2025 (the “2025 Annual Report”) contains further discussions on our critical accounting policies and estimates.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6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RESULTS OF OPERATIONS</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Comparison of the three months ended March 31, 2026 and 2025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3"/>
            <w:vMerge w:val="restart"/>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CCEEFF"/>
            </w:tcBorders>
          </w:tcPr>
          <w:p>
            <w:pPr>
              <w:spacing w:after="0"/>
              <w:rPr>
                <w:sz w:val="18"/>
                <w:szCs w:val="18"/>
                <w:color w:val="auto"/>
              </w:rPr>
            </w:pPr>
          </w:p>
        </w:tc>
        <w:tc>
          <w:tcPr>
            <w:tcW w:w="19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Change</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Licensing and royalties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69.9%</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Selling, marketing, general and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473.4%</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345.7%</w:t>
            </w:r>
          </w:p>
        </w:tc>
        <w:tc>
          <w:tcPr>
            <w:tcW w:w="18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474.6%</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347.2%</w:t>
            </w:r>
          </w:p>
        </w:tc>
        <w:tc>
          <w:tcPr>
            <w:tcW w:w="1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-444.5%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-319.5%</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3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0"/>
        </w:trPr>
        <w:tc>
          <w:tcPr>
            <w:tcW w:w="3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Liquidmetal</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5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1"/>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 shareholders</w:t>
            </w: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500" w:type="dxa"/>
            <w:vAlign w:val="bottom"/>
            <w:gridSpan w:val="3"/>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and operating expenses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revenue decreased by $26 to $256 for the three months ended March 31, 2026 from $282 for the three months ended March 31,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attributable to decrease in product shipments primarily related to recurring customer orders and medical device orders.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sales was $179, or 69.9% of total revenue, for the three months ended March 31, 2026, as compared to $204, or 72.3% of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for the three months ended March 31, 2025. The decrease in our cost of sales was primarily driven by lower product revenues during Q1 2026 compared to Q1 2025. Once we are able to sustain and increase shipments of routine, commercial products and parts through our contract manufacturers, we expect our cost of sales percentages to decrease, stabilize, and be more predictable.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gross profit decreased by $1 from $78 for the three months ended March 31, 2025 to $77 for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gross margin percentage increased slightly from Q1 2025 to Q1 2026.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marketing, general, and administrative expenses</w:t>
      </w:r>
      <w:r>
        <w:rPr>
          <w:rFonts w:ascii="Times New Roman" w:cs="Times New Roman" w:eastAsia="Times New Roman" w:hAnsi="Times New Roman"/>
          <w:sz w:val="18"/>
          <w:szCs w:val="18"/>
          <w:color w:val="auto"/>
        </w:rPr>
        <w:t>. Selling, marketing, general, and administrative expenses increased by $237 to $1,212,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473.4% of revenue, for the three months ended March 31, 2026 from $975, or 345.7% of revenue, for the three months ended March 31, 2025. The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expenses was primarily attributable to increase in payroll expenses and expenses related to our factory build out in China in Q1 2026 compared to Q1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Stock Based compensation decreased by $16 to $38 for the three months ended March 31, 2026 from $54 for the three months ended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decrease was attributable to no new stock option issuances in the current quarter.</w:t>
      </w:r>
    </w:p>
    <w:p>
      <w:pPr>
        <w:sectPr>
          <w:pgSz w:w="11900" w:h="16838" w:orient="portrait"/>
          <w:cols w:equalWidth="0" w:num="1">
            <w:col w:w="11240"/>
          </w:cols>
          <w:pgMar w:left="320" w:top="108" w:right="339" w:bottom="947"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947"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expenses decreased to $3, or 1.2% of revenue,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and $4, or 1.4% of revenue, for the three months ended March 31, 2025. This was primarily due to continuing efforts to perform research and development on new Liquidmetal alloys and related processing capabilities, albeit on a reduced basis.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Non-operational income and expenses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income relates to realized gains earned from our investments in debt securities for the respective periods.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was $10 and $63 for the three months ended March 31, 2026 and 2025, respectively. The decrease during the three months ended March 31, 2026 is primarily due to withdrawals from debt securities.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relates to interest earned from our cash deposits and investments in debt securities for the respective periods.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was $137 and $179 for the three months ended March 31, 2026 and 2025, respectively. The decrease during the three months ended March 31, 2026 is primarily due to withdrawals from debt securities to fund our new joint venture.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Lease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income relates to straight-line rental income received under the Facility Lease. Such amounts were $196 and $89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2026 and 2025, respectively. The increase during the three months ended March 31, 2026 was primarily due to amendment of the Facility Lease on May 1, 2025 and the related increase in leased square footage.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annual net losses of $765 for the three months ended March 31, 2026 and $568 for the three months ended March 31, 2025 are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reflective of operating expenses associated with our on-going business as well as non-operational income, discussed above. Inventory was $0 as of March 31, 2026, as all inventory had been shipped before period end.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used in 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totaled $226 and $299 for the three months ended March 31, 2026 and 2025, respectively. The cash was primarily used to fund operating expenses related to our business and product development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provided by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totaled $466 and cash used in $812 for the three months ended March 31, 2026 and 2025, respectively. Investing inflows primarily consist of proceeds from the sale of debt securities. Investing outflows primarily consist of purchases of debt securities and purchases of fixed assets for our factory in China</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arrangements and outlook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relatively limited history of selling bulk amorphous alloy products and components on a mass-production scale. Furthermore, the ability of future contract manufacturers to produce our products in desired quantities and at commercially reasonable prices is uncertain and is dependent on a variety of factors that are outside of our control, including the nature and design of the component, the customer’s specifications, and required delivery timelines. These factors have previously required that we engage in equity sales under various stock purchase agreements to support its operations and strategic initiatives.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as of March 31, 2026, we had $7,404 in cash and restricted cash, as well as $11,757 in investments in debt securities. We view this total of $19,161 as readily available sources of liquidity in the event needed to advance our existing strategy, and/or pursue an alternative strategy. As such, we anticipate that our current capital resources, when considering expected losses from operations, will be sufficient to fund our operations for the foreseeable future. Accordingly, we have concluded that there is no substantial doubt about the Company’s ability to continue as a going concern.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(our Principal Executive Officer and Principal Financial Officer), we carried out an evaluation of the effectiveness of the design and operation of our disclosure controls and procedures (as defined in Rule 13a-15(e) under the Securities Exchange Act of 1934, as amended (the “Exchange Act”)) as of March 31, 2026. Based on their evaluation, our Chief Executive Officer has concluded that our disclosure controls and procedures were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or 15d-15(f) under the Exchange Act) during the quarter ended March 31, 2026 that have materially affected, or are reasonably likely to materially affect, our internal control over financial reporting.</w:t>
      </w:r>
    </w:p>
    <w:p>
      <w:pPr>
        <w:sectPr>
          <w:pgSz w:w="11900" w:h="16838" w:orient="portrait"/>
          <w:cols w:equalWidth="0" w:num="1">
            <w:col w:w="11240"/>
          </w:cols>
          <w:pgMar w:left="320" w:top="121" w:right="339" w:bottom="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 risk factors that should be understood by any investor contemplating an investment in our stock, please refer to Part I, Item 1A “Risk Factors” in the 2025 Annual Report. There have been no material changes from the risk factors previously disclosed in Part I, Item 1A “Risk Factors” in the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covered by this Quarterly Report on Form 10-Q, we did not issue or sell any unregistered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Report: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0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5800" w:type="dxa"/>
            <w:vAlign w:val="bottom"/>
            <w:tcBorders>
              <w:top w:val="single" w:sz="8" w:color="auto"/>
              <w:right w:val="single" w:sz="8" w:color="auto"/>
            </w:tcBorders>
          </w:tcPr>
          <w:p>
            <w:pPr>
              <w:spacing w:after="0"/>
              <w:rPr>
                <w:sz w:val="18"/>
                <w:szCs w:val="18"/>
                <w:color w:val="auto"/>
              </w:rPr>
            </w:pPr>
          </w:p>
        </w:tc>
      </w:tr>
      <w:tr>
        <w:trPr>
          <w:trHeight w:val="231"/>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Borders>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213"/>
        </w:trPr>
        <w:tc>
          <w:tcPr>
            <w:tcW w:w="1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18"/>
                <w:szCs w:val="18"/>
                <w:color w:val="auto"/>
              </w:rPr>
            </w:pPr>
          </w:p>
        </w:tc>
      </w:tr>
      <w:tr>
        <w:trPr>
          <w:trHeight w:val="169"/>
        </w:trPr>
        <w:tc>
          <w:tcPr>
            <w:tcW w:w="10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auto"/>
            </w:tcBorders>
          </w:tcPr>
          <w:p>
            <w:pPr>
              <w:spacing w:after="0"/>
              <w:rPr>
                <w:sz w:val="14"/>
                <w:szCs w:val="14"/>
                <w:color w:val="auto"/>
              </w:rPr>
            </w:pPr>
          </w:p>
        </w:tc>
        <w:tc>
          <w:tcPr>
            <w:tcW w:w="10100" w:type="dxa"/>
            <w:vAlign w:val="bottom"/>
            <w:tcBorders>
              <w:bottom w:val="single" w:sz="8" w:color="0000EE"/>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Tony Chung, as required by Section 302 of the Sarbanes-Oxley</w:t>
            </w:r>
          </w:p>
        </w:tc>
      </w:tr>
      <w:tr>
        <w:trPr>
          <w:trHeight w:val="196"/>
        </w:trPr>
        <w:tc>
          <w:tcPr>
            <w:tcW w:w="10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
        </w:trPr>
        <w:tc>
          <w:tcPr>
            <w:tcW w:w="10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18"/>
                <w:szCs w:val="18"/>
                <w:color w:val="auto"/>
              </w:rPr>
            </w:pPr>
          </w:p>
        </w:tc>
      </w:tr>
      <w:tr>
        <w:trPr>
          <w:trHeight w:val="169"/>
        </w:trPr>
        <w:tc>
          <w:tcPr>
            <w:tcW w:w="10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auto"/>
            </w:tcBorders>
          </w:tcPr>
          <w:p>
            <w:pPr>
              <w:spacing w:after="0"/>
              <w:rPr>
                <w:sz w:val="14"/>
                <w:szCs w:val="14"/>
                <w:color w:val="auto"/>
              </w:rPr>
            </w:pPr>
          </w:p>
        </w:tc>
        <w:tc>
          <w:tcPr>
            <w:tcW w:w="10100" w:type="dxa"/>
            <w:vAlign w:val="bottom"/>
            <w:tcBorders>
              <w:bottom w:val="single" w:sz="8" w:color="0000EE"/>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and Principal Financial Officer, Tony Chung, pursuant to 18 U.S.C. Section 1350, as adopted</w:t>
            </w:r>
          </w:p>
        </w:tc>
      </w:tr>
      <w:tr>
        <w:trPr>
          <w:trHeight w:val="196"/>
        </w:trPr>
        <w:tc>
          <w:tcPr>
            <w:tcW w:w="10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r>
      <w:tr>
        <w:trPr>
          <w:trHeight w:val="21"/>
        </w:trPr>
        <w:tc>
          <w:tcPr>
            <w:tcW w:w="10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3400" w:type="dxa"/>
            <w:vAlign w:val="bottom"/>
            <w:tcBorders>
              <w:top w:val="single" w:sz="8" w:color="0000EE"/>
              <w:bottom w:val="single" w:sz="8" w:color="auto"/>
            </w:tcBorders>
          </w:tcPr>
          <w:p>
            <w:pPr>
              <w:spacing w:after="0" w:line="20" w:lineRule="exact"/>
              <w:rPr>
                <w:sz w:val="1"/>
                <w:szCs w:val="1"/>
                <w:color w:val="auto"/>
              </w:rPr>
            </w:pPr>
          </w:p>
        </w:tc>
        <w:tc>
          <w:tcPr>
            <w:tcW w:w="580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18"/>
                <w:szCs w:val="18"/>
                <w:color w:val="auto"/>
              </w:rPr>
            </w:pPr>
          </w:p>
        </w:tc>
      </w:tr>
      <w:tr>
        <w:trPr>
          <w:trHeight w:val="191"/>
        </w:trPr>
        <w:tc>
          <w:tcPr>
            <w:tcW w:w="10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right w:val="single" w:sz="8" w:color="auto"/>
            </w:tcBorders>
          </w:tcPr>
          <w:p>
            <w:pPr>
              <w:spacing w:after="0"/>
              <w:rPr>
                <w:sz w:val="16"/>
                <w:szCs w:val="16"/>
                <w:color w:val="auto"/>
              </w:rPr>
            </w:pPr>
          </w:p>
        </w:tc>
        <w:tc>
          <w:tcPr>
            <w:tcW w:w="1010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The following financial statements from Liquidmetal Technologies, Inc.’s Quarterly Report on Form 10-Q for the quarter ended March 31,</w:t>
            </w:r>
          </w:p>
        </w:tc>
      </w:tr>
      <w:tr>
        <w:trPr>
          <w:trHeight w:val="216"/>
        </w:trPr>
        <w:tc>
          <w:tcPr>
            <w:tcW w:w="102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2026 (unaudited), formatted in Inline XBRL: (i) Consolidated Balance Sheets as of March 31, 2026 and December 31, 2025, (ii)</w:t>
            </w:r>
          </w:p>
        </w:tc>
      </w:tr>
      <w:tr>
        <w:trPr>
          <w:trHeight w:val="216"/>
        </w:trPr>
        <w:tc>
          <w:tcPr>
            <w:tcW w:w="102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2026 and 2025, (iii) Consolidated Statements of</w:t>
            </w:r>
          </w:p>
        </w:tc>
      </w:tr>
      <w:tr>
        <w:trPr>
          <w:trHeight w:val="216"/>
        </w:trPr>
        <w:tc>
          <w:tcPr>
            <w:tcW w:w="102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Stockholders’ Equity for the three months ended March 31, 2026 and 2025, (iv) Consolidated Statements of Comprehensive Loss for the</w:t>
            </w:r>
          </w:p>
        </w:tc>
      </w:tr>
      <w:tr>
        <w:trPr>
          <w:trHeight w:val="216"/>
        </w:trPr>
        <w:tc>
          <w:tcPr>
            <w:tcW w:w="102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three months ended March 31, 2026 and 2025, (v) Consolidated Statements of Cash Flows for the three months ended March 31, 2026 and</w:t>
            </w:r>
          </w:p>
        </w:tc>
      </w:tr>
      <w:tr>
        <w:trPr>
          <w:trHeight w:val="234"/>
        </w:trPr>
        <w:tc>
          <w:tcPr>
            <w:tcW w:w="10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2025, and (vi) Notes to Consolidated Financial Statements.</w:t>
            </w:r>
          </w:p>
        </w:tc>
      </w:tr>
      <w:tr>
        <w:trPr>
          <w:trHeight w:val="210"/>
        </w:trPr>
        <w:tc>
          <w:tcPr>
            <w:tcW w:w="1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18"/>
                <w:szCs w:val="18"/>
                <w:color w:val="auto"/>
              </w:rPr>
            </w:pPr>
          </w:p>
        </w:tc>
      </w:tr>
      <w:tr>
        <w:trPr>
          <w:trHeight w:val="209"/>
        </w:trPr>
        <w:tc>
          <w:tcPr>
            <w:tcW w:w="1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26"/>
        </w:trPr>
        <w:tc>
          <w:tcPr>
            <w:tcW w:w="1020" w:type="dxa"/>
            <w:vAlign w:val="bottom"/>
          </w:tcPr>
          <w:p>
            <w:pPr>
              <w:spacing w:after="0"/>
              <w:rPr>
                <w:sz w:val="24"/>
                <w:szCs w:val="24"/>
                <w:color w:val="auto"/>
              </w:rPr>
            </w:pPr>
          </w:p>
        </w:tc>
        <w:tc>
          <w:tcPr>
            <w:tcW w:w="10220" w:type="dxa"/>
            <w:vAlign w:val="bottom"/>
            <w:gridSpan w:val="4"/>
          </w:tcPr>
          <w:p>
            <w:pPr>
              <w:jc w:val="right"/>
              <w:ind w:right="5520"/>
              <w:spacing w:after="0"/>
              <w:rPr>
                <w:sz w:val="20"/>
                <w:szCs w:val="20"/>
                <w:color w:val="auto"/>
              </w:rPr>
            </w:pPr>
            <w:r>
              <w:rPr>
                <w:rFonts w:ascii="Times New Roman" w:cs="Times New Roman" w:eastAsia="Times New Roman" w:hAnsi="Times New Roman"/>
                <w:sz w:val="18"/>
                <w:szCs w:val="18"/>
                <w:color w:val="auto"/>
              </w:rPr>
              <w:t>23</w:t>
            </w:r>
          </w:p>
        </w:tc>
      </w:tr>
      <w:tr>
        <w:trPr>
          <w:trHeight w:val="115"/>
        </w:trPr>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58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460" w:type="dxa"/>
            <w:vAlign w:val="bottom"/>
            <w:tcBorders>
              <w:top w:val="single" w:sz="8" w:color="auto"/>
              <w:left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right w:val="single" w:sz="8" w:color="auto"/>
            </w:tcBorders>
          </w:tcPr>
          <w:p>
            <w:pPr>
              <w:spacing w:after="0"/>
              <w:rPr>
                <w:sz w:val="21"/>
                <w:szCs w:val="21"/>
                <w:color w:val="auto"/>
              </w:rPr>
            </w:pPr>
          </w:p>
        </w:tc>
        <w:tc>
          <w:tcPr>
            <w:tcW w:w="42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LIQUIDMETAL TECHNOLOGIES, INC.</w:t>
            </w:r>
          </w:p>
        </w:tc>
        <w:tc>
          <w:tcPr>
            <w:tcW w:w="134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3460" w:type="dxa"/>
            <w:vAlign w:val="bottom"/>
            <w:tcBorders>
              <w:bottom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spacing w:after="0"/>
              <w:rPr>
                <w:sz w:val="16"/>
                <w:szCs w:val="16"/>
                <w:color w:val="auto"/>
              </w:rPr>
            </w:pPr>
          </w:p>
        </w:tc>
        <w:tc>
          <w:tcPr>
            <w:tcW w:w="42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(Registrant)</w:t>
            </w:r>
          </w:p>
        </w:tc>
        <w:tc>
          <w:tcPr>
            <w:tcW w:w="1340" w:type="dxa"/>
            <w:vAlign w:val="bottom"/>
            <w:tcBorders>
              <w:bottom w:val="single" w:sz="8" w:color="auto"/>
              <w:right w:val="single" w:sz="8" w:color="auto"/>
            </w:tcBorders>
          </w:tcPr>
          <w:p>
            <w:pPr>
              <w:spacing w:after="0"/>
              <w:rPr>
                <w:sz w:val="16"/>
                <w:szCs w:val="16"/>
                <w:color w:val="auto"/>
              </w:rPr>
            </w:pPr>
          </w:p>
        </w:tc>
      </w:tr>
      <w:tr>
        <w:trPr>
          <w:trHeight w:val="210"/>
        </w:trPr>
        <w:tc>
          <w:tcPr>
            <w:tcW w:w="346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09"/>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May 8, 2026</w:t>
            </w:r>
          </w:p>
        </w:tc>
        <w:tc>
          <w:tcPr>
            <w:tcW w:w="220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Tony Chung</w:t>
            </w: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346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Tony Chung</w:t>
            </w:r>
          </w:p>
        </w:tc>
        <w:tc>
          <w:tcPr>
            <w:tcW w:w="1340" w:type="dxa"/>
            <w:vAlign w:val="bottom"/>
            <w:tcBorders>
              <w:bottom w:val="single" w:sz="8" w:color="auto"/>
              <w:right w:val="single" w:sz="8" w:color="auto"/>
            </w:tcBorders>
          </w:tcPr>
          <w:p>
            <w:pPr>
              <w:spacing w:after="0"/>
              <w:rPr>
                <w:sz w:val="18"/>
                <w:szCs w:val="18"/>
                <w:color w:val="auto"/>
              </w:rPr>
            </w:pPr>
          </w:p>
        </w:tc>
      </w:tr>
      <w:tr>
        <w:trPr>
          <w:trHeight w:val="209"/>
        </w:trPr>
        <w:tc>
          <w:tcPr>
            <w:tcW w:w="346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340" w:type="dxa"/>
            <w:vAlign w:val="bottom"/>
            <w:tcBorders>
              <w:bottom w:val="single" w:sz="8" w:color="auto"/>
              <w:right w:val="single" w:sz="8" w:color="auto"/>
            </w:tcBorders>
          </w:tcPr>
          <w:p>
            <w:pPr>
              <w:spacing w:after="0"/>
              <w:rPr>
                <w:sz w:val="18"/>
                <w:szCs w:val="18"/>
                <w:color w:val="auto"/>
              </w:rPr>
            </w:pPr>
          </w:p>
        </w:tc>
      </w:tr>
      <w:tr>
        <w:trPr>
          <w:trHeight w:val="191"/>
        </w:trPr>
        <w:tc>
          <w:tcPr>
            <w:tcW w:w="3460" w:type="dxa"/>
            <w:vAlign w:val="bottom"/>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42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(Principal  Executive  Officer  and  Principal  Financial</w:t>
            </w:r>
          </w:p>
        </w:tc>
        <w:tc>
          <w:tcPr>
            <w:tcW w:w="1340" w:type="dxa"/>
            <w:vAlign w:val="bottom"/>
            <w:tcBorders>
              <w:right w:val="single" w:sz="8" w:color="auto"/>
            </w:tcBorders>
          </w:tcPr>
          <w:p>
            <w:pPr>
              <w:spacing w:after="0"/>
              <w:rPr>
                <w:sz w:val="16"/>
                <w:szCs w:val="16"/>
                <w:color w:val="auto"/>
              </w:rPr>
            </w:pPr>
          </w:p>
        </w:tc>
      </w:tr>
      <w:tr>
        <w:trPr>
          <w:trHeight w:val="234"/>
        </w:trPr>
        <w:tc>
          <w:tcPr>
            <w:tcW w:w="346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Officer)</w:t>
            </w:r>
          </w:p>
        </w:tc>
        <w:tc>
          <w:tcPr>
            <w:tcW w:w="1340" w:type="dxa"/>
            <w:vAlign w:val="bottom"/>
            <w:tcBorders>
              <w:bottom w:val="single" w:sz="8" w:color="auto"/>
              <w:right w:val="single" w:sz="8" w:color="auto"/>
            </w:tcBorders>
          </w:tcPr>
          <w:p>
            <w:pPr>
              <w:spacing w:after="0"/>
              <w:rPr>
                <w:sz w:val="20"/>
                <w:szCs w:val="20"/>
                <w:color w:val="auto"/>
              </w:rPr>
            </w:pPr>
          </w:p>
        </w:tc>
      </w:tr>
      <w:tr>
        <w:trPr>
          <w:trHeight w:val="425"/>
        </w:trPr>
        <w:tc>
          <w:tcPr>
            <w:tcW w:w="3460" w:type="dxa"/>
            <w:vAlign w:val="bottom"/>
          </w:tcPr>
          <w:p>
            <w:pPr>
              <w:spacing w:after="0"/>
              <w:rPr>
                <w:sz w:val="24"/>
                <w:szCs w:val="24"/>
                <w:color w:val="auto"/>
              </w:rPr>
            </w:pPr>
          </w:p>
        </w:tc>
        <w:tc>
          <w:tcPr>
            <w:tcW w:w="644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Tony Chung, certify that:</w:t>
      </w:r>
    </w:p>
    <w:p>
      <w:pPr>
        <w:spacing w:after="0" w:line="225"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Liquidmetal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7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3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4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3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Tony Chung</w:t>
            </w:r>
          </w:p>
        </w:tc>
      </w:tr>
      <w:tr>
        <w:trPr>
          <w:trHeight w:val="191"/>
        </w:trPr>
        <w:tc>
          <w:tcPr>
            <w:tcW w:w="2820" w:type="dxa"/>
            <w:vAlign w:val="bottom"/>
          </w:tcPr>
          <w:p>
            <w:pPr>
              <w:spacing w:after="0"/>
              <w:rPr>
                <w:sz w:val="16"/>
                <w:szCs w:val="16"/>
                <w:color w:val="auto"/>
              </w:rPr>
            </w:pPr>
          </w:p>
        </w:tc>
        <w:tc>
          <w:tcPr>
            <w:tcW w:w="4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Tony Chung</w:t>
            </w:r>
          </w:p>
        </w:tc>
      </w:tr>
      <w:tr>
        <w:trPr>
          <w:trHeight w:val="216"/>
        </w:trPr>
        <w:tc>
          <w:tcPr>
            <w:tcW w:w="28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8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28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the purposes of complying with 18 U.S.C. 1350, I, the undersigned Chief Executive Officer and Principal Financial Officer of Liquidmetal Technologies, Inc. (the “Company”) hereby certify, based on my knowledge, that the Quarterly Report on Form 10-Q of the Company for the quarter ended March 31, 2026 (the “Report”) fully complies with the requirements of Section 13(a) of the Securities Exchange Act of 1934 and that 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Tony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Chung, Chief Executive Officer and Principal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2026-05-08T15:53:37Z</dcterms:created>
  <dcterms:modified xsi:type="dcterms:W3CDTF">2026-05-08T15:53:37Z</dcterms:modified>
</cp:coreProperties>
</file>