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12b-25</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NOTIFICATION OF LATE FILING</w:t>
      </w:r>
    </w:p>
    <w:p>
      <w:pPr>
        <w:spacing w:after="0" w:line="197" w:lineRule="exact"/>
        <w:rPr>
          <w:sz w:val="24"/>
          <w:szCs w:val="24"/>
          <w:color w:val="auto"/>
        </w:rPr>
      </w:pPr>
    </w:p>
    <w:p>
      <w:pPr>
        <w:spacing w:after="0" w:line="207" w:lineRule="exact"/>
        <w:tabs>
          <w:tab w:leader="none" w:pos="1920" w:val="left"/>
          <w:tab w:leader="none" w:pos="3860" w:val="left"/>
          <w:tab w:leader="none" w:pos="5840" w:val="left"/>
          <w:tab w:leader="none" w:pos="7760" w:val="left"/>
          <w:tab w:leader="none" w:pos="9640" w:val="left"/>
        </w:tabs>
        <w:rPr>
          <w:sz w:val="20"/>
          <w:szCs w:val="20"/>
          <w:color w:val="auto"/>
        </w:rPr>
      </w:pPr>
      <w:r>
        <w:rPr>
          <w:rFonts w:ascii="Arial" w:cs="Arial" w:eastAsia="Arial" w:hAnsi="Arial"/>
          <w:sz w:val="18"/>
          <w:szCs w:val="18"/>
          <w:i w:val="1"/>
          <w:iCs w:val="1"/>
          <w:color w:val="auto"/>
        </w:rPr>
        <w:t>(Check one):</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10-K</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11-K</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10-Q</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Form 10-D</w:t>
      </w:r>
    </w:p>
    <w:p>
      <w:pPr>
        <w:spacing w:after="0" w:line="51" w:lineRule="exact"/>
        <w:rPr>
          <w:sz w:val="24"/>
          <w:szCs w:val="24"/>
          <w:color w:val="auto"/>
        </w:rPr>
      </w:pPr>
    </w:p>
    <w:p>
      <w:pPr>
        <w:ind w:left="1940"/>
        <w:spacing w:after="0" w:line="207" w:lineRule="exact"/>
        <w:tabs>
          <w:tab w:leader="none" w:pos="38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N-SAR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Form N-CSR</w:t>
      </w:r>
    </w:p>
    <w:p>
      <w:pPr>
        <w:spacing w:after="0" w:line="216" w:lineRule="exact"/>
        <w:rPr>
          <w:sz w:val="24"/>
          <w:szCs w:val="24"/>
          <w:color w:val="auto"/>
        </w:rPr>
      </w:pPr>
    </w:p>
    <w:p>
      <w:pPr>
        <w:ind w:left="1940"/>
        <w:spacing w:after="0"/>
        <w:tabs>
          <w:tab w:leader="none" w:pos="3860" w:val="left"/>
        </w:tabs>
        <w:rPr>
          <w:sz w:val="20"/>
          <w:szCs w:val="20"/>
          <w:color w:val="auto"/>
        </w:rPr>
      </w:pPr>
      <w:r>
        <w:rPr>
          <w:rFonts w:ascii="Arial" w:cs="Arial" w:eastAsia="Arial" w:hAnsi="Arial"/>
          <w:sz w:val="18"/>
          <w:szCs w:val="18"/>
          <w:color w:val="auto"/>
        </w:rPr>
        <w:t>For Period Ended:</w:t>
      </w:r>
      <w:r>
        <w:rPr>
          <w:sz w:val="20"/>
          <w:szCs w:val="20"/>
          <w:color w:val="auto"/>
        </w:rPr>
        <w:tab/>
      </w:r>
      <w:r>
        <w:rPr>
          <w:rFonts w:ascii="Arial" w:cs="Arial" w:eastAsia="Arial" w:hAnsi="Arial"/>
          <w:sz w:val="16"/>
          <w:szCs w:val="16"/>
          <w:color w:val="auto"/>
        </w:rPr>
        <w:t>March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14605</wp:posOffset>
            </wp:positionV>
            <wp:extent cx="4785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85360" cy="8890"/>
                    </a:xfrm>
                    <a:prstGeom prst="rect">
                      <a:avLst/>
                    </a:prstGeom>
                    <a:noFill/>
                  </pic:spPr>
                </pic:pic>
              </a:graphicData>
            </a:graphic>
          </wp:anchor>
        </w:drawing>
      </w:r>
    </w:p>
    <w:p>
      <w:pPr>
        <w:spacing w:after="0" w:line="12" w:lineRule="exact"/>
        <w:rPr>
          <w:sz w:val="24"/>
          <w:szCs w:val="24"/>
          <w:color w:val="auto"/>
        </w:rPr>
      </w:pPr>
    </w:p>
    <w:p>
      <w:pPr>
        <w:ind w:left="2140" w:hanging="201"/>
        <w:spacing w:after="0"/>
        <w:tabs>
          <w:tab w:leader="none" w:pos="2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2140" w:hanging="201"/>
        <w:spacing w:after="0"/>
        <w:tabs>
          <w:tab w:leader="none" w:pos="2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2140" w:hanging="201"/>
        <w:spacing w:after="0"/>
        <w:tabs>
          <w:tab w:leader="none" w:pos="2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2140" w:hanging="201"/>
        <w:spacing w:after="0"/>
        <w:tabs>
          <w:tab w:leader="none" w:pos="2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1940" w:right="6740" w:hanging="1"/>
        <w:spacing w:after="0" w:line="321" w:lineRule="auto"/>
        <w:tabs>
          <w:tab w:leader="none" w:pos="21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Transition Report on Form N-SAR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3366770</wp:posOffset>
            </wp:positionH>
            <wp:positionV relativeFrom="paragraph">
              <wp:posOffset>-46990</wp:posOffset>
            </wp:positionV>
            <wp:extent cx="38849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84930" cy="8890"/>
                    </a:xfrm>
                    <a:prstGeom prst="rect">
                      <a:avLst/>
                    </a:prstGeom>
                    <a:noFill/>
                  </pic:spPr>
                </pic:pic>
              </a:graphicData>
            </a:graphic>
          </wp:anchor>
        </w:drawing>
      </w:r>
    </w:p>
    <w:p>
      <w:pPr>
        <w:spacing w:after="0" w:line="336"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Read Instructions (on back page) Before Preparing Form. Please Print or Type.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5715</wp:posOffset>
            </wp:positionV>
            <wp:extent cx="7237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LIQUIDMETAL TECHNOLOGIES,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20321 Valencia Circle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Lake Forest, CA 92630</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ectPr>
          <w:pgSz w:w="11900" w:h="16838" w:orient="portrait"/>
          <w:cols w:equalWidth="0" w:num="1">
            <w:col w:w="11400"/>
          </w:cols>
          <w:pgMar w:left="240" w:top="661" w:right="259" w:bottom="1440" w:gutter="0" w:footer="0" w:header="0"/>
        </w:sectPr>
      </w:pPr>
    </w:p>
    <w:p>
      <w:pPr>
        <w:spacing w:after="0" w:line="170"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(a)</w:t>
      </w:r>
    </w:p>
    <w:p>
      <w:pPr>
        <w:spacing w:after="0" w:line="48" w:lineRule="exact"/>
        <w:rPr>
          <w:rFonts w:ascii="MS PGothic" w:cs="MS PGothic" w:eastAsia="MS PGothic" w:hAnsi="MS PGothic"/>
          <w:sz w:val="16"/>
          <w:szCs w:val="16"/>
          <w:color w:val="auto"/>
        </w:rPr>
      </w:pPr>
    </w:p>
    <w:p>
      <w:pPr>
        <w:ind w:left="520"/>
        <w:spacing w:after="0"/>
        <w:rPr>
          <w:rFonts w:ascii="MS PGothic" w:cs="MS PGothic" w:eastAsia="MS PGothic" w:hAnsi="MS PGothic"/>
          <w:sz w:val="16"/>
          <w:szCs w:val="16"/>
          <w:color w:val="auto"/>
        </w:rPr>
      </w:pPr>
      <w:r>
        <w:rPr>
          <w:rFonts w:ascii="Arial" w:cs="Arial" w:eastAsia="Arial" w:hAnsi="Arial"/>
          <w:sz w:val="16"/>
          <w:szCs w:val="16"/>
          <w:color w:val="auto"/>
        </w:rPr>
        <w:t>(b)</w:t>
      </w:r>
    </w:p>
    <w:p>
      <w:pPr>
        <w:spacing w:after="0" w:line="9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393" w:lineRule="exact"/>
        <w:rPr>
          <w:sz w:val="24"/>
          <w:szCs w:val="24"/>
          <w:color w:val="auto"/>
        </w:rPr>
      </w:pPr>
    </w:p>
    <w:p>
      <w:pPr>
        <w:ind w:left="520"/>
        <w:spacing w:after="0"/>
        <w:rPr>
          <w:sz w:val="20"/>
          <w:szCs w:val="20"/>
          <w:color w:val="auto"/>
        </w:rPr>
      </w:pPr>
      <w:r>
        <w:rPr>
          <w:rFonts w:ascii="Arial" w:cs="Arial" w:eastAsia="Arial" w:hAnsi="Arial"/>
          <w:sz w:val="17"/>
          <w:szCs w:val="17"/>
          <w:color w:val="auto"/>
        </w:rPr>
        <w:t>(c)</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23" w:lineRule="exact"/>
        <w:rPr>
          <w:sz w:val="24"/>
          <w:szCs w:val="24"/>
          <w:color w:val="auto"/>
        </w:rPr>
      </w:pPr>
    </w:p>
    <w:p>
      <w:pPr>
        <w:spacing w:after="0" w:line="250" w:lineRule="auto"/>
        <w:rPr>
          <w:sz w:val="20"/>
          <w:szCs w:val="20"/>
          <w:color w:val="auto"/>
        </w:rPr>
      </w:pPr>
      <w:r>
        <w:rPr>
          <w:rFonts w:ascii="Arial" w:cs="Arial" w:eastAsia="Arial" w:hAnsi="Arial"/>
          <w:sz w:val="18"/>
          <w:szCs w:val="18"/>
          <w:color w:val="auto"/>
        </w:rPr>
        <w:t>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The accountant’s statement or other exhibit required by Rule 12b-25(c) has been attached if applicable.</w:t>
      </w:r>
    </w:p>
    <w:p>
      <w:pPr>
        <w:spacing w:after="0" w:line="200" w:lineRule="exact"/>
        <w:rPr>
          <w:sz w:val="24"/>
          <w:szCs w:val="24"/>
          <w:color w:val="auto"/>
        </w:rPr>
      </w:pPr>
    </w:p>
    <w:p>
      <w:pPr>
        <w:sectPr>
          <w:pgSz w:w="11900" w:h="16838" w:orient="portrait"/>
          <w:cols w:equalWidth="0" w:num="2">
            <w:col w:w="720" w:space="100"/>
            <w:col w:w="10580"/>
          </w:cols>
          <w:pgMar w:left="240" w:top="661" w:right="25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170"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The preparation of the Registrant’s quarterly report on Form 10-Q has taken longer than anticipated and could not be completed by the required filing date of May 10, 2019 without unreasonable effort and expense, as additional time is needed to assess the impact of subsequent events on existing accruals and accounting positions, and determine whether such events are material for disclosure.</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expects to file its Form 10-Q within the prescribed extended period of May 17,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(Attach extra Sheets if Needed)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w w:val="98"/>
              </w:rPr>
              <w:t>(1)  Name and telephone number of person to contact in regard to this notification</w:t>
            </w: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Arial" w:cs="Arial" w:eastAsia="Arial" w:hAnsi="Arial"/>
                <w:sz w:val="18"/>
                <w:szCs w:val="18"/>
                <w:color w:val="auto"/>
                <w:w w:val="91"/>
              </w:rPr>
              <w:t>Bryce Van</w:t>
            </w:r>
          </w:p>
        </w:tc>
        <w:tc>
          <w:tcPr>
            <w:tcW w:w="2100" w:type="dxa"/>
            <w:vAlign w:val="bottom"/>
            <w:gridSpan w:val="2"/>
          </w:tcPr>
          <w:p>
            <w:pPr>
              <w:jc w:val="right"/>
              <w:ind w:right="710"/>
              <w:spacing w:after="0"/>
              <w:rPr>
                <w:sz w:val="20"/>
                <w:szCs w:val="20"/>
                <w:color w:val="auto"/>
              </w:rPr>
            </w:pPr>
            <w:r>
              <w:rPr>
                <w:rFonts w:ascii="Arial" w:cs="Arial" w:eastAsia="Arial" w:hAnsi="Arial"/>
                <w:sz w:val="18"/>
                <w:szCs w:val="18"/>
                <w:color w:val="auto"/>
              </w:rPr>
              <w:t>949</w:t>
            </w:r>
          </w:p>
        </w:tc>
        <w:tc>
          <w:tcPr>
            <w:tcW w:w="2900" w:type="dxa"/>
            <w:vAlign w:val="bottom"/>
            <w:gridSpan w:val="2"/>
          </w:tcPr>
          <w:p>
            <w:pPr>
              <w:jc w:val="right"/>
              <w:ind w:right="910"/>
              <w:spacing w:after="0"/>
              <w:rPr>
                <w:sz w:val="20"/>
                <w:szCs w:val="20"/>
                <w:color w:val="auto"/>
              </w:rPr>
            </w:pPr>
            <w:r>
              <w:rPr>
                <w:rFonts w:ascii="Arial" w:cs="Arial" w:eastAsia="Arial" w:hAnsi="Arial"/>
                <w:sz w:val="18"/>
                <w:szCs w:val="18"/>
                <w:color w:val="auto"/>
              </w:rPr>
              <w:t>635-2107</w:t>
            </w:r>
          </w:p>
        </w:tc>
      </w:tr>
      <w:tr>
        <w:trPr>
          <w:trHeight w:val="224"/>
        </w:trPr>
        <w:tc>
          <w:tcPr>
            <w:tcW w:w="380" w:type="dxa"/>
            <w:vAlign w:val="bottom"/>
          </w:tcPr>
          <w:p>
            <w:pPr>
              <w:spacing w:after="0"/>
              <w:rPr>
                <w:sz w:val="19"/>
                <w:szCs w:val="19"/>
                <w:color w:val="auto"/>
              </w:rPr>
            </w:pPr>
          </w:p>
        </w:tc>
        <w:tc>
          <w:tcPr>
            <w:tcW w:w="6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(Name)</w:t>
            </w:r>
          </w:p>
        </w:tc>
        <w:tc>
          <w:tcPr>
            <w:tcW w:w="240" w:type="dxa"/>
            <w:vAlign w:val="bottom"/>
          </w:tcPr>
          <w:p>
            <w:pPr>
              <w:spacing w:after="0"/>
              <w:rPr>
                <w:sz w:val="19"/>
                <w:szCs w:val="19"/>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22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ind w:left="380" w:right="60" w:hanging="372"/>
        <w:spacing w:after="0" w:line="264"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48" w:lineRule="exact"/>
        <w:rPr>
          <w:rFonts w:ascii="Arial" w:cs="Arial" w:eastAsia="Arial" w:hAnsi="Arial"/>
          <w:sz w:val="18"/>
          <w:szCs w:val="18"/>
          <w:color w:val="auto"/>
        </w:rPr>
      </w:pPr>
    </w:p>
    <w:p>
      <w:pPr>
        <w:ind w:left="9740" w:hanging="192"/>
        <w:spacing w:after="0" w:line="207" w:lineRule="exact"/>
        <w:tabs>
          <w:tab w:leader="none" w:pos="974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71" w:lineRule="exact"/>
        <w:rPr>
          <w:rFonts w:ascii="MS PGothic" w:cs="MS PGothic" w:eastAsia="MS PGothic" w:hAnsi="MS PGothic"/>
          <w:sz w:val="18"/>
          <w:szCs w:val="18"/>
          <w:color w:val="auto"/>
        </w:rPr>
      </w:pPr>
    </w:p>
    <w:p>
      <w:pPr>
        <w:ind w:left="380" w:right="6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-302260</wp:posOffset>
            </wp:positionV>
            <wp:extent cx="7006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118" w:lineRule="exact"/>
        <w:rPr>
          <w:sz w:val="20"/>
          <w:szCs w:val="20"/>
          <w:color w:val="auto"/>
        </w:rPr>
      </w:pPr>
    </w:p>
    <w:p>
      <w:pPr>
        <w:ind w:left="9540"/>
        <w:spacing w:after="0" w:line="207" w:lineRule="exact"/>
        <w:tabs>
          <w:tab w:leader="none" w:pos="101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58" w:lineRule="exact"/>
        <w:rPr>
          <w:sz w:val="20"/>
          <w:szCs w:val="20"/>
          <w:color w:val="auto"/>
        </w:rPr>
      </w:pPr>
    </w:p>
    <w:p>
      <w:pPr>
        <w:ind w:left="380" w:right="6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0" w:lineRule="exact"/>
        <w:rPr>
          <w:sz w:val="20"/>
          <w:szCs w:val="20"/>
          <w:color w:val="auto"/>
        </w:rPr>
      </w:pPr>
    </w:p>
    <w:p>
      <w:pPr>
        <w:spacing w:after="0" w:line="39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LIQUIDMETAL TECHNOLOGIES, INC.</w:t>
      </w:r>
    </w:p>
    <w:p>
      <w:pPr>
        <w:spacing w:after="0" w:line="14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(Name of Registrant as Specified in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Date  May 13, 2019</w:t>
            </w:r>
          </w:p>
        </w:tc>
        <w:tc>
          <w:tcPr>
            <w:tcW w:w="5940" w:type="dxa"/>
            <w:vAlign w:val="bottom"/>
            <w:gridSpan w:val="2"/>
          </w:tcPr>
          <w:p>
            <w:pPr>
              <w:ind w:left="500"/>
              <w:spacing w:after="0"/>
              <w:rPr>
                <w:sz w:val="20"/>
                <w:szCs w:val="20"/>
                <w:color w:val="auto"/>
              </w:rPr>
            </w:pPr>
            <w:r>
              <w:rPr>
                <w:rFonts w:ascii="Arial" w:cs="Arial" w:eastAsia="Arial" w:hAnsi="Arial"/>
                <w:sz w:val="18"/>
                <w:szCs w:val="18"/>
                <w:color w:val="auto"/>
              </w:rPr>
              <w:t>By  /s/ Bryce Van</w:t>
            </w:r>
          </w:p>
        </w:tc>
      </w:tr>
      <w:tr>
        <w:trPr>
          <w:trHeight w:val="195"/>
        </w:trPr>
        <w:tc>
          <w:tcPr>
            <w:tcW w:w="520" w:type="dxa"/>
            <w:vAlign w:val="bottom"/>
          </w:tcPr>
          <w:p>
            <w:pPr>
              <w:spacing w:after="0"/>
              <w:rPr>
                <w:sz w:val="16"/>
                <w:szCs w:val="16"/>
                <w:color w:val="auto"/>
              </w:rPr>
            </w:pPr>
          </w:p>
        </w:tc>
        <w:tc>
          <w:tcPr>
            <w:tcW w:w="4960" w:type="dxa"/>
            <w:vAlign w:val="bottom"/>
            <w:tcBorders>
              <w:top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5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Bryce Van</w:t>
            </w:r>
          </w:p>
        </w:tc>
      </w:tr>
      <w:tr>
        <w:trPr>
          <w:trHeight w:val="230"/>
        </w:trPr>
        <w:tc>
          <w:tcPr>
            <w:tcW w:w="5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940" w:type="dxa"/>
            <w:vAlign w:val="bottom"/>
            <w:gridSpan w:val="2"/>
          </w:tcPr>
          <w:p>
            <w:pPr>
              <w:ind w:left="880"/>
              <w:spacing w:after="0"/>
              <w:rPr>
                <w:sz w:val="20"/>
                <w:szCs w:val="20"/>
                <w:color w:val="auto"/>
              </w:rPr>
            </w:pPr>
            <w:r>
              <w:rPr>
                <w:rFonts w:ascii="Arial" w:cs="Arial" w:eastAsia="Arial" w:hAnsi="Arial"/>
                <w:sz w:val="18"/>
                <w:szCs w:val="18"/>
                <w:color w:val="auto"/>
              </w:rPr>
              <w:t>Vice President of Finance</w:t>
            </w:r>
          </w:p>
        </w:tc>
      </w:tr>
    </w:tbl>
    <w:p>
      <w:pPr>
        <w:spacing w:after="0" w:line="202"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4098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8890</wp:posOffset>
            </wp:positionV>
            <wp:extent cx="2418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2019-12-02T20:38:34Z</dcterms:created>
  <dcterms:modified xsi:type="dcterms:W3CDTF">2019-12-02T20:38:34Z</dcterms:modified>
</cp:coreProperties>
</file>