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28, 2025</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LIQUIDMETAL TECHNOLOGIES, INC.</w:t>
      </w:r>
    </w:p>
    <w:p>
      <w:pPr>
        <w:spacing w:after="0" w:line="5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5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Exact name of registrant as specified in its charter</w:t>
            </w:r>
            <w:r>
              <w:rPr>
                <w:rFonts w:ascii="Times New Roman" w:cs="Times New Roman" w:eastAsia="Times New Roman" w:hAnsi="Times New Roman"/>
                <w:sz w:val="18"/>
                <w:szCs w:val="18"/>
                <w:b w:val="1"/>
                <w:bCs w:val="1"/>
                <w:color w:val="auto"/>
              </w:rPr>
              <w:t>)</w:t>
            </w:r>
          </w:p>
        </w:tc>
        <w:tc>
          <w:tcPr>
            <w:tcW w:w="3300" w:type="dxa"/>
            <w:vAlign w:val="bottom"/>
          </w:tcPr>
          <w:p>
            <w:pPr>
              <w:spacing w:after="0"/>
              <w:rPr>
                <w:sz w:val="20"/>
                <w:szCs w:val="20"/>
                <w:color w:val="auto"/>
              </w:rPr>
            </w:pPr>
          </w:p>
        </w:tc>
      </w:tr>
      <w:tr>
        <w:trPr>
          <w:trHeight w:val="209"/>
        </w:trPr>
        <w:tc>
          <w:tcPr>
            <w:tcW w:w="3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r>
      <w:tr>
        <w:trPr>
          <w:trHeight w:val="210"/>
        </w:trPr>
        <w:tc>
          <w:tcPr>
            <w:tcW w:w="3440" w:type="dxa"/>
            <w:vAlign w:val="bottom"/>
            <w:tcBorders>
              <w:left w:val="single" w:sz="8" w:color="auto"/>
              <w:bottom w:val="single" w:sz="8" w:color="auto"/>
            </w:tcBorders>
          </w:tcPr>
          <w:p>
            <w:pPr>
              <w:jc w:val="center"/>
              <w:ind w:left="790"/>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86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001-31332</w:t>
            </w:r>
          </w:p>
        </w:tc>
        <w:tc>
          <w:tcPr>
            <w:tcW w:w="920" w:type="dxa"/>
            <w:vAlign w:val="bottom"/>
            <w:tcBorders>
              <w:bottom w:val="single" w:sz="8" w:color="auto"/>
            </w:tcBorders>
          </w:tcPr>
          <w:p>
            <w:pPr>
              <w:spacing w:after="0"/>
              <w:rPr>
                <w:sz w:val="18"/>
                <w:szCs w:val="18"/>
                <w:color w:val="auto"/>
              </w:rPr>
            </w:pPr>
          </w:p>
        </w:tc>
        <w:tc>
          <w:tcPr>
            <w:tcW w:w="3300" w:type="dxa"/>
            <w:vAlign w:val="bottom"/>
            <w:tcBorders>
              <w:bottom w:val="single" w:sz="8" w:color="auto"/>
              <w:right w:val="single" w:sz="8" w:color="auto"/>
            </w:tcBorders>
          </w:tcPr>
          <w:p>
            <w:pPr>
              <w:jc w:val="center"/>
              <w:ind w:right="9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33-0264467</w:t>
            </w:r>
          </w:p>
        </w:tc>
      </w:tr>
      <w:tr>
        <w:trPr>
          <w:trHeight w:val="174"/>
        </w:trPr>
        <w:tc>
          <w:tcPr>
            <w:tcW w:w="3440" w:type="dxa"/>
            <w:vAlign w:val="bottom"/>
            <w:tcBorders>
              <w:left w:val="single" w:sz="8" w:color="auto"/>
            </w:tcBorders>
          </w:tcPr>
          <w:p>
            <w:pPr>
              <w:jc w:val="center"/>
              <w:ind w:left="770"/>
              <w:spacing w:after="0" w:line="175" w:lineRule="exact"/>
              <w:rPr>
                <w:sz w:val="20"/>
                <w:szCs w:val="20"/>
                <w:color w:val="auto"/>
              </w:rPr>
            </w:pPr>
            <w:r>
              <w:rPr>
                <w:rFonts w:ascii="Times New Roman" w:cs="Times New Roman" w:eastAsia="Times New Roman" w:hAnsi="Times New Roman"/>
                <w:sz w:val="18"/>
                <w:szCs w:val="18"/>
                <w:color w:val="auto"/>
              </w:rPr>
              <w:t>(State or other jurisdiction</w:t>
            </w:r>
          </w:p>
        </w:tc>
        <w:tc>
          <w:tcPr>
            <w:tcW w:w="860" w:type="dxa"/>
            <w:vAlign w:val="bottom"/>
            <w:tcBorders>
              <w:right w:val="single" w:sz="8" w:color="auto"/>
            </w:tcBorders>
          </w:tcPr>
          <w:p>
            <w:pPr>
              <w:spacing w:after="0"/>
              <w:rPr>
                <w:sz w:val="15"/>
                <w:szCs w:val="15"/>
                <w:color w:val="auto"/>
              </w:rPr>
            </w:pPr>
          </w:p>
        </w:tc>
        <w:tc>
          <w:tcPr>
            <w:tcW w:w="27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(Commission</w:t>
            </w:r>
          </w:p>
        </w:tc>
        <w:tc>
          <w:tcPr>
            <w:tcW w:w="920" w:type="dxa"/>
            <w:vAlign w:val="bottom"/>
          </w:tcPr>
          <w:p>
            <w:pPr>
              <w:spacing w:after="0"/>
              <w:rPr>
                <w:sz w:val="15"/>
                <w:szCs w:val="15"/>
                <w:color w:val="auto"/>
              </w:rPr>
            </w:pPr>
          </w:p>
        </w:tc>
        <w:tc>
          <w:tcPr>
            <w:tcW w:w="3300" w:type="dxa"/>
            <w:vAlign w:val="bottom"/>
            <w:tcBorders>
              <w:right w:val="single" w:sz="8" w:color="auto"/>
            </w:tcBorders>
          </w:tcPr>
          <w:p>
            <w:pPr>
              <w:jc w:val="center"/>
              <w:ind w:right="910"/>
              <w:spacing w:after="0" w:line="175"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440" w:type="dxa"/>
            <w:vAlign w:val="bottom"/>
            <w:tcBorders>
              <w:left w:val="single" w:sz="8" w:color="auto"/>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86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920" w:type="dxa"/>
            <w:vAlign w:val="bottom"/>
            <w:tcBorders>
              <w:bottom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03"/>
        </w:trPr>
        <w:tc>
          <w:tcPr>
            <w:tcW w:w="3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20321 Valencia Circle</w:t>
            </w:r>
          </w:p>
        </w:tc>
        <w:tc>
          <w:tcPr>
            <w:tcW w:w="3300" w:type="dxa"/>
            <w:vAlign w:val="bottom"/>
          </w:tcPr>
          <w:p>
            <w:pPr>
              <w:spacing w:after="0"/>
              <w:rPr>
                <w:sz w:val="24"/>
                <w:szCs w:val="24"/>
                <w:color w:val="auto"/>
              </w:rPr>
            </w:pPr>
          </w:p>
        </w:tc>
      </w:tr>
      <w:tr>
        <w:trPr>
          <w:trHeight w:val="220"/>
        </w:trPr>
        <w:tc>
          <w:tcPr>
            <w:tcW w:w="3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6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Lake Forest, CA 92630</w:t>
            </w:r>
          </w:p>
        </w:tc>
        <w:tc>
          <w:tcPr>
            <w:tcW w:w="3300" w:type="dxa"/>
            <w:vAlign w:val="bottom"/>
          </w:tcPr>
          <w:p>
            <w:pPr>
              <w:spacing w:after="0"/>
              <w:rPr>
                <w:sz w:val="19"/>
                <w:szCs w:val="19"/>
                <w:color w:val="auto"/>
              </w:rPr>
            </w:pPr>
          </w:p>
        </w:tc>
      </w:tr>
      <w:tr>
        <w:trPr>
          <w:trHeight w:val="234"/>
        </w:trPr>
        <w:tc>
          <w:tcPr>
            <w:tcW w:w="3440" w:type="dxa"/>
            <w:vAlign w:val="bottom"/>
          </w:tcPr>
          <w:p>
            <w:pPr>
              <w:spacing w:after="0"/>
              <w:rPr>
                <w:sz w:val="20"/>
                <w:szCs w:val="20"/>
                <w:color w:val="auto"/>
              </w:rPr>
            </w:pPr>
          </w:p>
        </w:tc>
        <w:tc>
          <w:tcPr>
            <w:tcW w:w="45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3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(949) 635-2100</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registrant has elected not to use the extended transition period for complying with any new or revised financial accounting standards provided pursuant to Section 13(a) of the Exchange Act.</w:t>
      </w: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May 28, 2025, Liquidmetal Technologies, Inc. (the “Company”) appointed Professor Lugee Li, Chairman and Director of the Company, to serve as an officer and manager of Liquidmetal Asia Holdings Ltd., a wholly owned subsidiary of the Company (“LMAH”), effective immediately, with an annual salary of $260,000. As an officer and manager of LMAH, Professor Li will be responsible for the management and implementation of Asia business development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thereunder duly authorized.</w:t>
      </w:r>
    </w:p>
    <w:p>
      <w:pPr>
        <w:spacing w:after="0" w:line="37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LIQUIDMETAL TECHNOLOGIES, INC.</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By: /s/ Tony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17145</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Tony Chung,</w:t>
      </w:r>
    </w:p>
    <w:p>
      <w:pPr>
        <w:spacing w:after="0" w:line="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2025</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2025-05-29T16:22:23Z</dcterms:created>
  <dcterms:modified xsi:type="dcterms:W3CDTF">2025-05-29T16:22:23Z</dcterms:modified>
</cp:coreProperties>
</file>