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Lugee Li Yeung Tak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 FLEMING ROAD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ROOM 906, TAI TUNG BUILDING</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WANCHAI</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K3</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999077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LIQUIDMETAL TECHNOLOGIES INC</w:t>
              </w:r>
            </w:hyperlink>
            <w:r>
              <w:rPr/>
              <w:t xml:space="preserve"> [ </w:t>
            </w:r>
            <w:r>
              <w:rPr>
                <w:rFonts w:ascii="Times;serif" w:hAnsi="Times;serif"/>
                <w:color w:val="0000FF"/>
                <w:sz w:val="24"/>
                <w:shd w:fill="FFFFFF" w:val="clear"/>
              </w:rPr>
              <w:t>LQMT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12/15/2021</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90"/>
        <w:gridCol w:w="930"/>
        <w:gridCol w:w="799"/>
        <w:gridCol w:w="617"/>
        <w:gridCol w:w="343"/>
        <w:gridCol w:w="767"/>
        <w:gridCol w:w="423"/>
        <w:gridCol w:w="592"/>
        <w:gridCol w:w="1462"/>
        <w:gridCol w:w="974"/>
        <w:gridCol w:w="130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9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78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46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30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9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6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59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46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0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$0.001 par value per share</w:t>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6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4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405,000,000</w:t>
            </w:r>
          </w:p>
        </w:tc>
        <w:tc>
          <w:tcPr>
            <w:tcW w:w="9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Liquidmetal Technology Limited</w:t>
            </w:r>
            <w:r>
              <w:rPr>
                <w:rFonts w:ascii="Times;serif" w:hAnsi="Times;serif"/>
                <w:color w:val="008000"/>
                <w:position w:val="7"/>
                <w:sz w:val="16"/>
                <w:sz w:val="20"/>
                <w:shd w:fill="FFFFFF" w:val="clear"/>
              </w:rPr>
              <w:t>(1)</w:t>
            </w:r>
            <w:r>
              <w:rPr/>
              <w:t xml:space="preserve"> </w:t>
            </w:r>
          </w:p>
        </w:tc>
      </w:tr>
      <w:tr>
        <w:trPr/>
        <w:tc>
          <w:tcPr>
            <w:tcW w:w="199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$0.001 par value per share</w:t>
            </w:r>
          </w:p>
        </w:tc>
        <w:tc>
          <w:tcPr>
            <w:tcW w:w="93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6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46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1,360,150</w:t>
            </w:r>
          </w:p>
        </w:tc>
        <w:tc>
          <w:tcPr>
            <w:tcW w:w="9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0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3394" w:type="dxa"/>
        <w:jc w:val="left"/>
        <w:tblInd w:w="-7" w:type="dxa"/>
        <w:tblLayout w:type="fixed"/>
        <w:tblCellMar>
          <w:top w:w="60" w:type="dxa"/>
          <w:left w:w="60" w:type="dxa"/>
          <w:bottom w:w="60" w:type="dxa"/>
          <w:right w:w="60" w:type="dxa"/>
        </w:tblCellMar>
      </w:tblPr>
      <w:tblGrid>
        <w:gridCol w:w="1205"/>
        <w:gridCol w:w="861"/>
        <w:gridCol w:w="891"/>
        <w:gridCol w:w="771"/>
        <w:gridCol w:w="591"/>
        <w:gridCol w:w="300"/>
        <w:gridCol w:w="816"/>
        <w:gridCol w:w="276"/>
        <w:gridCol w:w="906"/>
        <w:gridCol w:w="801"/>
        <w:gridCol w:w="891"/>
        <w:gridCol w:w="1221"/>
        <w:gridCol w:w="801"/>
        <w:gridCol w:w="1071"/>
        <w:gridCol w:w="831"/>
        <w:gridCol w:w="1161"/>
      </w:tblGrid>
      <w:tr>
        <w:trPr>
          <w:tblHeader w:val="true"/>
        </w:trPr>
        <w:tc>
          <w:tcPr>
            <w:tcW w:w="133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2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21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2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2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2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(right-to-buy)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0.09</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12/15/2021</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200,000</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12/15/2031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 Par Value $0.001</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200,000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2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(right-to-buy)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0.13</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05/04/2026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 Par Value $0.001</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7,000,000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2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Common Stock Purchase Warrant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0.07</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03/10/2016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03/10/2026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 Par Value $0.001</w:t>
            </w:r>
          </w:p>
        </w:tc>
        <w:tc>
          <w:tcPr>
            <w:tcW w:w="12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10,066,809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10,066,809</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Liquidmetal Technology Limited</w:t>
            </w:r>
            <w:r>
              <w:rPr>
                <w:rFonts w:ascii="Times;serif" w:hAnsi="Times;serif"/>
                <w:color w:val="008000"/>
                <w:position w:val="7"/>
                <w:sz w:val="16"/>
                <w:sz w:val="20"/>
                <w:shd w:fill="FFFFFF" w:val="clear"/>
              </w:rPr>
              <w:t>(4)</w:t>
            </w:r>
            <w:r>
              <w:rPr/>
              <w:t xml:space="preserve"> </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Liquidmetal Technology Limited, a Hong Kong corporation, holds such shares of common stock. Mr. Li is the sole shareholder, executive officer and director of Liquidmetal Technology Limited.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an option granted under the Company's 2015 Equity Incentive Plan. The shares covered by the option vest monthly over three years with the option being 100% vested on the third anniversary of the date of grant.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an option granted under the Company's 2015 Equity Incentive Plan. The shares covered by the option will vest 20% on the first year anniversary date from the date of grant. Thereafter, the shares covered by the option will vest monthly over 4 years with the option being 100% vested on the fifth anniversary of the date of grant.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Liquidmetal Technology Limited holds such common stock purchase warrant. Mr. Li is the sole shareholder, executive officer and director of Liquidmetal Technology Limited.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See 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Tony Chung, as Attorney-in-Fact for Yeung Tak Lugee Li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10/15/2024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40"/>
        <w:jc w:val="center"/>
        <w:rPr>
          <w:rFonts w:ascii="Times New Roman;Times;serif" w:hAnsi="Times New Roman;Times;serif"/>
          <w:b/>
          <w:color w:val="000000"/>
          <w:sz w:val="20"/>
        </w:rPr>
      </w:pPr>
      <w:bookmarkStart w:id="2" w:name="lugeepoa.htm"/>
      <w:bookmarkStart w:id="3" w:name="kslugeepoa"/>
      <w:bookmarkEnd w:id="2"/>
      <w:bookmarkEnd w:id="3"/>
      <w:r>
        <w:rPr>
          <w:rFonts w:ascii="Times New Roman;Times;serif" w:hAnsi="Times New Roman;Times;serif"/>
          <w:b/>
          <w:color w:val="000000"/>
          <w:sz w:val="20"/>
        </w:rPr>
        <w:t>POWER OF ATTORNEY</w:t>
      </w:r>
      <w:r>
        <w:br w:type="page"/>
      </w:r>
    </w:p>
    <w:p>
      <w:pPr>
        <w:pStyle w:val="TextBody"/>
        <w:bidi w:val="0"/>
        <w:spacing w:before="0" w:after="120"/>
        <w:ind w:left="0" w:right="0" w:firstLine="1440"/>
        <w:jc w:val="both"/>
        <w:rPr>
          <w:rFonts w:ascii="Times New Roman;Times;serif" w:hAnsi="Times New Roman;Times;serif"/>
          <w:color w:val="000000"/>
          <w:sz w:val="20"/>
        </w:rPr>
      </w:pPr>
      <w:r>
        <w:rPr>
          <w:rFonts w:ascii="Times New Roman;Times;serif" w:hAnsi="Times New Roman;Times;serif"/>
          <w:color w:val="000000"/>
          <w:sz w:val="20"/>
        </w:rPr>
        <w:t>Know all by these presents, that, for good and valuable consideration, the sufficiency and receipt of which are hereby acknowledged, the undersigned hereby constitutes and appoints each of Tony Chung, and Isaac Bresnick, and any of their substitutes, signing singly, the undersigned’s true and lawful attorney</w:t>
        <w:noBreakHyphen/>
        <w:t>in</w:t>
        <w:noBreakHyphen/>
        <w:t>fact to:</w:t>
      </w:r>
    </w:p>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120"/>
              <w:ind w:left="1440" w:right="0" w:hanging="0"/>
              <w:jc w:val="left"/>
              <w:rPr/>
            </w:pPr>
            <w:r>
              <w:rPr/>
              <w:t>(1)</w:t>
            </w:r>
          </w:p>
        </w:tc>
        <w:tc>
          <w:tcPr>
            <w:tcW w:w="9964" w:type="dxa"/>
            <w:tcBorders/>
            <w:vAlign w:val="center"/>
          </w:tcPr>
          <w:p>
            <w:pPr>
              <w:pStyle w:val="TableContents"/>
              <w:bidi w:val="0"/>
              <w:spacing w:before="0" w:after="120"/>
              <w:ind w:left="0" w:right="0" w:firstLine="1440"/>
              <w:jc w:val="both"/>
              <w:rPr/>
            </w:pPr>
            <w:r>
              <w:rPr/>
              <w:t>execute for and on behalf of the undersigned (in accordance with Section 16(a) of the Securities Exchange Act of 1934, as amended, and the rules thereunder (the “Exchange Act”)), any and all Forms 3, 4 and/or 5, and any amendments thereto, that are necessary or advisable for the undersigned to file under Section 16(a) (collectively, “Documents”) with respect to the undersigned’s holdings of and transactions in the securities issued by Liquidmetal Technologies, Inc., a Delaware corporation (the “Company”).</w:t>
            </w:r>
          </w:p>
        </w:tc>
      </w:tr>
    </w:tbl>
    <w:tbl>
      <w:tblPr>
        <w:tblW w:w="10205" w:type="dxa"/>
        <w:jc w:val="left"/>
        <w:tblInd w:w="0" w:type="dxa"/>
        <w:tblLayout w:type="fixed"/>
        <w:tblCellMar>
          <w:top w:w="0" w:type="dxa"/>
          <w:left w:w="0" w:type="dxa"/>
          <w:bottom w:w="0" w:type="dxa"/>
          <w:right w:w="0" w:type="dxa"/>
        </w:tblCellMar>
      </w:tblPr>
      <w:tblGrid>
        <w:gridCol w:w="250"/>
        <w:gridCol w:w="9955"/>
      </w:tblGrid>
      <w:tr>
        <w:trPr/>
        <w:tc>
          <w:tcPr>
            <w:tcW w:w="250" w:type="dxa"/>
            <w:tcBorders/>
            <w:vAlign w:val="center"/>
          </w:tcPr>
          <w:p>
            <w:pPr>
              <w:pStyle w:val="TableContents"/>
              <w:bidi w:val="0"/>
              <w:spacing w:before="0" w:after="120"/>
              <w:ind w:left="1440" w:right="0" w:hanging="0"/>
              <w:jc w:val="left"/>
              <w:rPr/>
            </w:pPr>
            <w:r>
              <w:rPr/>
              <w:t>(2)</w:t>
            </w:r>
          </w:p>
        </w:tc>
        <w:tc>
          <w:tcPr>
            <w:tcW w:w="9955" w:type="dxa"/>
            <w:tcBorders/>
            <w:vAlign w:val="center"/>
          </w:tcPr>
          <w:p>
            <w:pPr>
              <w:pStyle w:val="TableContents"/>
              <w:bidi w:val="0"/>
              <w:spacing w:before="0" w:after="120"/>
              <w:ind w:left="0" w:right="0" w:firstLine="1440"/>
              <w:jc w:val="both"/>
              <w:rPr/>
            </w:pPr>
            <w:r>
              <w:rPr/>
              <w:t>do and perform any and all acts for and on behalf of the undersigned that may be necessary or desirable to complete and execute any such Documents and timely file such Documents with the United States Securities and Exchange Commission and any stock exchange or similar authority; and</w:t>
            </w:r>
          </w:p>
        </w:tc>
      </w:tr>
    </w:tbl>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120"/>
              <w:ind w:left="1440" w:right="0" w:hanging="0"/>
              <w:jc w:val="left"/>
              <w:rPr/>
            </w:pPr>
            <w:r>
              <w:rPr/>
              <w:t>(3)</w:t>
            </w:r>
          </w:p>
        </w:tc>
        <w:tc>
          <w:tcPr>
            <w:tcW w:w="9964" w:type="dxa"/>
            <w:tcBorders/>
            <w:vAlign w:val="center"/>
          </w:tcPr>
          <w:p>
            <w:pPr>
              <w:pStyle w:val="TableContents"/>
              <w:bidi w:val="0"/>
              <w:spacing w:before="0" w:after="120"/>
              <w:ind w:left="0" w:right="0" w:firstLine="1440"/>
              <w:jc w:val="both"/>
              <w:rPr/>
            </w:pPr>
            <w:r>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tc>
      </w:tr>
    </w:tbl>
    <w:p>
      <w:pPr>
        <w:pStyle w:val="TextBody"/>
        <w:bidi w:val="0"/>
        <w:spacing w:before="0" w:after="120"/>
        <w:ind w:left="0" w:right="0" w:firstLine="1440"/>
        <w:jc w:val="both"/>
        <w:rPr>
          <w:rFonts w:ascii="Times New Roman;Times;serif" w:hAnsi="Times New Roman;Times;serif"/>
          <w:color w:val="000000"/>
          <w:sz w:val="20"/>
        </w:rPr>
      </w:pPr>
      <w:r>
        <w:rPr>
          <w:rFonts w:ascii="Times New Roman;Times;serif" w:hAnsi="Times New Roman;Times;serif"/>
          <w:color w:val="000000"/>
          <w:sz w:val="20"/>
        </w:rPr>
        <w:t>The undersigned hereby grants to each such attorney</w:t>
        <w:noBreakHyphen/>
        <w:t>in</w:t>
        <w:noBreakHyphen/>
        <w:t>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each such attorney</w:t>
        <w:noBreakHyphen/>
        <w:t>in</w:t>
        <w:noBreakHyphen/>
        <w:t>fact (or such attorney</w:t>
        <w:noBreakHyphen/>
        <w:t>in</w:t>
        <w:noBreakHyphen/>
        <w:t>fact’s substitute or substitutes) shall lawfully do or cause to be done by virtue of this power of attorney and the rights and powers herein granted.  The undersigned acknowledges that each attorney</w:t>
        <w:noBreakHyphen/>
        <w:t>in</w:t>
        <w:noBreakHyphen/>
        <w:t>fact, in serving in such capacity at the request of the undersigned, is not assuming, nor is such attorney</w:t>
        <w:noBreakHyphen/>
        <w:t>in</w:t>
        <w:noBreakHyphen/>
        <w:t>fact’s substitute or substitutes or the Company assuming, any of the undersigned’s responsibilities to comply with the Exchange Act.</w:t>
      </w:r>
    </w:p>
    <w:p>
      <w:pPr>
        <w:pStyle w:val="TextBody"/>
        <w:bidi w:val="0"/>
        <w:spacing w:before="0" w:after="120"/>
        <w:ind w:left="0" w:right="0" w:firstLine="1440"/>
        <w:jc w:val="both"/>
        <w:rPr>
          <w:rFonts w:ascii="Times New Roman;Times;serif" w:hAnsi="Times New Roman;Times;serif"/>
          <w:color w:val="000000"/>
          <w:sz w:val="20"/>
        </w:rPr>
      </w:pPr>
      <w:r>
        <w:rPr>
          <w:rFonts w:ascii="Times New Roman;Times;serif" w:hAnsi="Times New Roman;Times;serif"/>
          <w:color w:val="000000"/>
          <w:sz w:val="20"/>
        </w:rPr>
        <w:t>The undersigned agrees that such attorney-in-fact may rely entirely on information furnished orally or in writing by the undersigned to such attorney-in-fact. The undersigned also agrees to indemnify and hold harmless the Company and such attorney-in-fact against any losses, claims, damages or liabilities (or actions in these respects) that arise out of or are based on any untrue statement or omission of necessary facts in the information provided by the undersigned to such attorney-in-fact for purposes of executing, acknowledging, delivering and filing Documents and agrees to reimburse the Company and such attorney-in-fact for any legal or other expenses reasonably incurred in connection with investigating or defending against any such loss, claim, damage, liability or action.</w:t>
      </w:r>
    </w:p>
    <w:p>
      <w:pPr>
        <w:pStyle w:val="TextBody"/>
        <w:bidi w:val="0"/>
        <w:spacing w:before="0" w:after="120"/>
        <w:ind w:left="0" w:right="0" w:firstLine="1440"/>
        <w:jc w:val="both"/>
        <w:rPr>
          <w:rFonts w:ascii="Times New Roman;Times;serif" w:hAnsi="Times New Roman;Times;serif"/>
          <w:color w:val="000000"/>
          <w:sz w:val="20"/>
        </w:rPr>
      </w:pPr>
      <w:r>
        <w:rPr>
          <w:rFonts w:ascii="Times New Roman;Times;serif" w:hAnsi="Times New Roman;Times;serif"/>
          <w:color w:val="000000"/>
          <w:sz w:val="20"/>
        </w:rPr>
        <w:t>This Power of Attorney shall remain in full force and effect until the undersigned is no longer required to file Documents with respect to the undersigned’s holdings of and transactions in securities issued by the Company, unless earlier revoked by the undersigned in a signed writing delivered to each of the foregoing attorneys</w:t>
        <w:noBreakHyphen/>
        <w:t>in</w:t>
        <w:noBreakHyphen/>
        <w:t>fact.</w:t>
      </w:r>
    </w:p>
    <w:p>
      <w:pPr>
        <w:pStyle w:val="TextBody"/>
        <w:bidi w:val="0"/>
        <w:spacing w:lineRule="auto" w:line="240" w:before="0" w:after="240"/>
        <w:ind w:left="0" w:right="0" w:firstLine="1440"/>
        <w:jc w:val="both"/>
        <w:rPr>
          <w:rFonts w:ascii="Times New Roman;Times;serif" w:hAnsi="Times New Roman;Times;serif"/>
          <w:color w:val="000000"/>
          <w:sz w:val="20"/>
        </w:rPr>
      </w:pPr>
      <w:r>
        <w:rPr>
          <w:rFonts w:ascii="Times New Roman;Times;serif" w:hAnsi="Times New Roman;Times;serif"/>
          <w:b/>
          <w:color w:val="000000"/>
          <w:sz w:val="20"/>
        </w:rPr>
        <w:t>IN WITNESS WHEREOF,</w:t>
      </w:r>
      <w:r>
        <w:rPr>
          <w:rFonts w:ascii="Times New Roman;Times;serif" w:hAnsi="Times New Roman;Times;serif"/>
          <w:color w:val="000000"/>
          <w:sz w:val="20"/>
        </w:rPr>
        <w:t xml:space="preserve"> the undersigned has caused this Power of Attorney to be executed as of this 10th day of October, 2024.</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4680" w:right="0" w:hanging="0"/>
        <w:jc w:val="both"/>
        <w:rPr>
          <w:rFonts w:ascii="Times New Roman;Times;serif" w:hAnsi="Times New Roman;Times;serif"/>
          <w:color w:val="000000"/>
          <w:sz w:val="20"/>
          <w:u w:val="single"/>
        </w:rPr>
      </w:pPr>
      <w:r>
        <w:rPr>
          <w:rFonts w:ascii="Times New Roman;Times;serif" w:hAnsi="Times New Roman;Times;serif"/>
          <w:color w:val="000000"/>
          <w:sz w:val="20"/>
          <w:u w:val="single"/>
        </w:rPr>
        <w:t>/s/ Yeung Tak Lugee Li</w:t>
      </w:r>
    </w:p>
    <w:p>
      <w:pPr>
        <w:pStyle w:val="TextBody"/>
        <w:bidi w:val="0"/>
        <w:spacing w:before="0" w:after="0"/>
        <w:ind w:left="4680" w:right="0" w:hanging="0"/>
        <w:jc w:val="both"/>
        <w:rPr>
          <w:rFonts w:ascii="Times New Roman;Times;serif" w:hAnsi="Times New Roman;Times;serif"/>
          <w:color w:val="000000"/>
          <w:sz w:val="20"/>
        </w:rPr>
      </w:pPr>
      <w:r>
        <w:rPr>
          <w:rFonts w:ascii="Times New Roman;Times;serif" w:hAnsi="Times New Roman;Times;serif"/>
          <w:color w:val="000000"/>
          <w:sz w:val="20"/>
        </w:rPr>
        <w:t>Yeung Tak Lugee Li</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68760" TargetMode="External"/><Relationship Id="rId5" Type="http://schemas.openxmlformats.org/officeDocument/2006/relationships/hyperlink" Target="http://www.sec.gov/cgi-bin/browse-edgar?action=getcompany&amp;CIK=000114124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1391</Words>
  <Characters>7551</Characters>
  <CharactersWithSpaces>8843</CharactersWithSpaces>
  <Paragraphs>143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